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45.png" ContentType="image/png"/>
  <Override PartName="/word/media/rId43.png" ContentType="image/png"/>
  <Override PartName="/word/media/rId33.png" ContentType="image/png"/>
  <Override PartName="/word/media/rId39.png" ContentType="image/png"/>
  <Override PartName="/word/media/rId89.png" ContentType="image/png"/>
  <Override PartName="/word/media/rId168.png" ContentType="image/png"/>
  <Override PartName="/word/media/rId167.png" ContentType="image/png"/>
  <Override PartName="/word/media/rId179.png" ContentType="image/png"/>
  <Override PartName="/word/media/rId164.png" ContentType="image/png"/>
  <Override PartName="/word/media/rId163.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59.png" ContentType="image/png"/>
  <Override PartName="/word/media/rId118.png" ContentType="image/png"/>
  <Override PartName="/word/media/rId115.png" ContentType="image/png"/>
  <Override PartName="/word/media/rId113.png" ContentType="image/png"/>
  <Override PartName="/word/media/rId169.png" ContentType="image/png"/>
  <Override PartName="/word/media/rId108.png" ContentType="image/png"/>
  <Override PartName="/word/media/rId111.png" ContentType="image/png"/>
  <Override PartName="/word/media/rId104.png" ContentType="image/png"/>
  <Override PartName="/word/media/rId106.png" ContentType="image/png"/>
  <Override PartName="/word/media/rId96.png" ContentType="image/png"/>
  <Override PartName="/word/media/rId100.png" ContentType="image/png"/>
  <Override PartName="/word/media/rId98.png" ContentType="image/png"/>
  <Override PartName="/word/media/rId121.png" ContentType="image/png"/>
  <Override PartName="/word/media/rId124.png" ContentType="image/png"/>
  <Override PartName="/word/media/rId123.png" ContentType="image/png"/>
  <Override PartName="/word/media/rId64.png" ContentType="image/png"/>
  <Override PartName="/word/media/rId65.png" ContentType="image/png"/>
  <Override PartName="/word/media/rId157.png" ContentType="image/png"/>
  <Override PartName="/word/media/rId156.png" ContentType="image/png"/>
  <Override PartName="/word/media/rId155.png" ContentType="image/png"/>
  <Override PartName="/word/media/rId154.png" ContentType="image/png"/>
  <Override PartName="/word/media/rId59.png" ContentType="image/png"/>
  <Override PartName="/word/media/rId57.png" ContentType="image/png"/>
  <Override PartName="/word/media/rId153.png" ContentType="image/png"/>
  <Override PartName="/word/media/rId174.png" ContentType="image/png"/>
  <Override PartName="/word/media/rId175.png" ContentType="image/png"/>
  <Override PartName="/word/media/rId148.png" ContentType="image/png"/>
  <Override PartName="/word/media/rId120.png" ContentType="image/png"/>
  <Override PartName="/word/media/rId152.png" ContentType="image/png"/>
  <Override PartName="/word/media/rId151.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concentration</w:t>
      </w:r>
      <w:r>
        <w:t xml:space="preserve"> </w:t>
      </w:r>
      <w:r>
        <w:t xml:space="preserve">and</w:t>
      </w:r>
      <w:r>
        <w:t xml:space="preserve"> </w:t>
      </w:r>
      <w:r>
        <w:t xml:space="preserve">character</w:t>
      </w:r>
      <w:r>
        <w:t xml:space="preserve"> </w:t>
      </w:r>
      <w:r>
        <w:t xml:space="preserve">across</w:t>
      </w:r>
      <w:r>
        <w:t xml:space="preserve"> </w:t>
      </w:r>
      <w:r>
        <w:t xml:space="preserve">the</w:t>
      </w:r>
      <w:r>
        <w:t xml:space="preserve"> </w:t>
      </w:r>
      <w:r>
        <w:t xml:space="preserve">Leech</w:t>
      </w:r>
      <w:r>
        <w:t xml:space="preserve"> </w:t>
      </w:r>
      <w:r>
        <w:t xml:space="preserve">River</w:t>
      </w:r>
      <w:r>
        <w:t xml:space="preserve"> </w:t>
      </w:r>
      <w:r>
        <w:t xml:space="preserve">watershed,</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drinking</w:t>
      </w:r>
      <w:r>
        <w:t xml:space="preserve"> </w:t>
      </w:r>
      <w:r>
        <w:t xml:space="preserve">water</w:t>
      </w:r>
      <w:r>
        <w:t xml:space="preserve"> </w:t>
      </w:r>
      <w:r>
        <w:t xml:space="preserve">supply</w:t>
      </w:r>
      <w:r>
        <w:t xml:space="preserve"> </w:t>
      </w:r>
      <w:r>
        <w:t xml:space="preserve">area</w:t>
      </w:r>
      <w:r>
        <w:t xml:space="preserve"> </w:t>
      </w:r>
      <w:r>
        <w:t xml:space="preserve">on</w:t>
      </w:r>
      <w:r>
        <w:t xml:space="preserve"> </w:t>
      </w:r>
      <w:r>
        <w:t xml:space="preserve">Vancouver</w:t>
      </w:r>
      <w:r>
        <w:t xml:space="preserve"> </w:t>
      </w:r>
      <w:r>
        <w:t xml:space="preserve">Island,</w:t>
      </w:r>
      <w:r>
        <w:t xml:space="preserve"> </w:t>
      </w:r>
      <w:r>
        <w:t xml:space="preserve">BC:</w:t>
      </w:r>
      <w:r>
        <w:t xml:space="preserve"> </w:t>
      </w:r>
      <w:r>
        <w:t xml:space="preserve">an</w:t>
      </w:r>
      <w:r>
        <w:t xml:space="preserve"> </w:t>
      </w:r>
      <w:r>
        <w:t xml:space="preserve">assessment</w:t>
      </w:r>
      <w:r>
        <w:t xml:space="preserve"> </w:t>
      </w:r>
      <w:r>
        <w:t xml:space="preserve">of</w:t>
      </w:r>
      <w:r>
        <w:t xml:space="preserve"> </w:t>
      </w:r>
      <w:r>
        <w:t xml:space="preserve">dissolved</w:t>
      </w:r>
      <w:r>
        <w:t xml:space="preserve"> </w:t>
      </w:r>
      <w:r>
        <w:t xml:space="preserve">organic</w:t>
      </w:r>
      <w:r>
        <w:t xml:space="preserve"> </w:t>
      </w:r>
      <w:r>
        <w:t xml:space="preserve">carbon</w:t>
      </w:r>
      <w:r>
        <w:t xml:space="preserve"> </w:t>
      </w:r>
      <w:r>
        <w:t xml:space="preserve">and</w:t>
      </w:r>
      <w:r>
        <w:t xml:space="preserve"> </w:t>
      </w:r>
      <w:r>
        <w:t xml:space="preserve">spectral</w:t>
      </w:r>
      <w:r>
        <w:t xml:space="preserve"> </w:t>
      </w:r>
      <w:r>
        <w:t xml:space="preserve">properties</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and all data analysis (using R (R 3.6.2) in RStudio (Version 1.3.820)) were completed solely by H.J. McSorley.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your feedback. I’m grateful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w:t>
      </w:r>
      <w:r>
        <w:rPr>
          <w:vertAlign w:val="superscript"/>
        </w:rPr>
        <w:t xml:space="preserve">2</w:t>
      </w:r>
      <w:r>
        <w:t xml:space="preserve">) encompassed Weeks Lake and surrounding wetlands (Jordan Meadows fen), and Chris crk sub-basin (5.8 km</w:t>
      </w:r>
      <w:r>
        <w:rPr>
          <w:vertAlign w:val="superscript"/>
        </w:rPr>
        <w:t xml:space="preserve">2</w:t>
      </w:r>
      <w:r>
        <w:t xml:space="preserve">)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t xml:space="preserve"> </w:t>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6629399"/>
            <wp:effectExtent b="0" l="0" r="0" t="0"/>
            <wp:docPr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6629399"/>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4128561"/>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summary"/>
      <w:r>
        <w:t xml:space="preserve">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FirstParagraph"/>
      </w:pPr>
      <w:r>
        <w:t xml:space="preserve">The methods defined in Chapter 2 were used to collect and analyze surface water samples across the twelve Greater Victoria water supply area sites (GVWSA, refer to Figure</w:t>
      </w:r>
      <w:r>
        <w:t xml:space="preserve"> </w:t>
      </w:r>
      <w:r>
        <w:t xml:space="preserve">2</w:t>
      </w:r>
      <w:r>
        <w:t xml:space="preserve"> </w:t>
      </w:r>
      <w:r>
        <w:t xml:space="preserve">for map). The objective was to describe spatial and temporal patterns and variation of natural organic matter (NOM) concentrations (as dissolved organic carbon, DOC) and spectral character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Additionally, sampling results were interpreted with the goal of clarifying the influence of seasonality on concentration and character of NOM.</w:t>
      </w:r>
    </w:p>
    <w:p>
      <w:pPr>
        <w:pStyle w:val="BodyText"/>
      </w:pPr>
      <w:r>
        <w:t xml:space="preserve"> </w:t>
      </w:r>
    </w:p>
    <w:p>
      <w:pPr>
        <w:pStyle w:val="Heading3"/>
      </w:pPr>
      <w:bookmarkStart w:id="69" w:name="methods"/>
      <w:r>
        <w:t xml:space="preserve">Methods</w:t>
      </w:r>
      <w:bookmarkEnd w:id="69"/>
    </w:p>
    <w:p>
      <w:pPr>
        <w:pStyle w:val="FirstParagraph"/>
      </w:pPr>
      <w:r>
        <w:t xml:space="preserve">All samples were collected by methods described in Chapter 2, and all data was flagged and filtered based on quality assurance described therein. Here, NOM is assessed based on concentrations of dissolved organic carbon (DOC) and character is indicated by SAC</w:t>
      </w:r>
      <w:r>
        <w:rPr>
          <w:vertAlign w:val="subscript"/>
        </w:rPr>
        <w:t xml:space="preserve">254</w:t>
      </w:r>
      <w:r>
        <w:t xml:space="preserve"> </w:t>
      </w:r>
      <w:r>
        <w:t xml:space="preserve">(reactivity &amp; aromaticity) and E</w:t>
      </w:r>
      <w:r>
        <w:rPr>
          <w:vertAlign w:val="subscript"/>
        </w:rPr>
        <w:t xml:space="preserve">2</w:t>
      </w:r>
      <w:r>
        <w:t xml:space="preserve">:E</w:t>
      </w:r>
      <w:r>
        <w:rPr>
          <w:vertAlign w:val="subscript"/>
        </w:rPr>
        <w:t xml:space="preserve">3</w:t>
      </w:r>
      <w:r>
        <w:t xml:space="preserve"> </w:t>
      </w:r>
      <w:r>
        <w:t xml:space="preserve">(molecular size &amp; aromaticity).</w:t>
      </w:r>
    </w:p>
    <w:p>
      <w:pPr>
        <w:pStyle w:val="BodyText"/>
      </w:pPr>
      <w:r>
        <w:t xml:space="preserve"> </w:t>
      </w:r>
    </w:p>
    <w:p>
      <w:pPr>
        <w:pStyle w:val="BodyText"/>
      </w:pPr>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sampling season (wet &amp; dry seasons). For shorter scale temporal pattern assessment, rising limb event-based Rack samples from the six monitoring sites in the Leech WSA were compared to inter-event sampling results (i.e. standard Grab samples).</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by UV-Vis for NOM character assessment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was unfortunately lost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X5df29f0d072217184f9d2c3d489d6e7d9af746b"/>
      <w:r>
        <w:t xml:space="preserve">Spatial patterns in NOM quantity and quality</w:t>
      </w:r>
      <w:bookmarkEnd w:id="71"/>
    </w:p>
    <w:p>
      <w:pPr>
        <w:pStyle w:val="FirstParagraph"/>
      </w:pPr>
      <w:r>
        <w:t xml:space="preserve">From 366 quality-controlled river water samples collected over 16 months, DOC ranged from 1.6 to 19.1 mg/L (5.7 mg/L median) with mean DOC of 6.1 ± 2.9 mg/L overall. The relative standard deviation (RSD = std.dev/mean)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sampling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and their means (5.4 mg/L and 4.8 mg/L, respectively) were not unlike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 Between these two sites with the highest DOC variance, the West Leech – a monitoring site – was more heavily sampled than Rithet – a synoptic sampling site alone (Table</w:t>
      </w:r>
      <w:r>
        <w:t xml:space="preserve"> </w:t>
      </w:r>
      <w:r>
        <w:t xml:space="preserve">9</w:t>
      </w:r>
      <w:r>
        <w:t xml:space="preserve">).</w:t>
      </w:r>
    </w:p>
    <w:p>
      <w:pPr>
        <w:pStyle w:val="BodyText"/>
      </w:pPr>
      <w:r>
        <w:t xml:space="preserve"> </w:t>
      </w:r>
    </w:p>
    <w:p>
      <w:pPr>
        <w:pStyle w:val="BodyText"/>
      </w:pPr>
      <w:r>
        <w:t xml:space="preserve">Mean DOC concentrations were similar between Judge crk (8.33 km</w:t>
      </w:r>
      <w:r>
        <w:rPr>
          <w:vertAlign w:val="superscript"/>
        </w:rPr>
        <w:t xml:space="preserve">2</w:t>
      </w:r>
      <w:r>
        <w:t xml:space="preserve"> </w:t>
      </w:r>
      <w:r>
        <w:t xml:space="preserve">sub-basin) and Rithet crk, the Sooke WSA main tributaries (mean DOC of 5.7 ± 1.1 mg/L and 5.4 ± 3.9 mg/L, respectively).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w:t>
      </w:r>
      <w:r>
        <w:t xml:space="preserve"> </w:t>
      </w:r>
      <w:r>
        <w:t xml:space="preserve">9</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Overall, DOC decreased from low-order headwater streams to higher-order downstream sites (Table</w:t>
      </w:r>
      <w:r>
        <w:t xml:space="preserve"> </w:t>
      </w:r>
      <w:r>
        <w:t xml:space="preserve">9</w:t>
      </w:r>
      <w:r>
        <w:t xml:space="preserve">, Figure</w:t>
      </w:r>
      <w:r>
        <w:t xml:space="preserve"> </w:t>
      </w:r>
      <w:r>
        <w:t xml:space="preserve">8</w:t>
      </w:r>
      <w:r>
        <w:t xml:space="preserve">). Like concentration, there was an overall reduction in NOM character (i.e. aromaticity, reactivity, and/or molecular size) from upstream to downstream sites (Table</w:t>
      </w:r>
      <w:r>
        <w:t xml:space="preserve"> </w:t>
      </w:r>
      <w:r>
        <w:t xml:space="preserve">10</w:t>
      </w:r>
      <w:r>
        <w:t xml:space="preserve">, Figure</w:t>
      </w:r>
      <w:r>
        <w:t xml:space="preserve"> </w:t>
      </w:r>
      <w:r>
        <w:t xml:space="preserve">8</w:t>
      </w:r>
      <w:r>
        <w:t xml:space="preserve">). The lowest absolute measurement for NOM aromaticity occurred at the Cragg crk site (minimum SAC</w:t>
      </w:r>
      <w:r>
        <w:rPr>
          <w:vertAlign w:val="subscript"/>
        </w:rPr>
        <w:t xml:space="preserve">254</w:t>
      </w:r>
      <w:r>
        <w:t xml:space="preserve"> </w:t>
      </w:r>
      <w:r>
        <w:t xml:space="preserve">4.69 m</w:t>
      </w:r>
      <w:r>
        <w:rPr>
          <w:vertAlign w:val="superscript"/>
        </w:rPr>
        <w:t xml:space="preserve">-1</w:t>
      </w:r>
      <w:r>
        <w:t xml:space="preserve">, maximum E</w:t>
      </w:r>
      <w:r>
        <w:rPr>
          <w:vertAlign w:val="subscript"/>
        </w:rPr>
        <w:t xml:space="preserve">2</w:t>
      </w:r>
      <w:r>
        <w:t xml:space="preserve">:E</w:t>
      </w:r>
      <w:r>
        <w:rPr>
          <w:vertAlign w:val="subscript"/>
        </w:rPr>
        <w:t xml:space="preserve">3</w:t>
      </w:r>
      <w:r>
        <w:t xml:space="preserve"> </w:t>
      </w:r>
      <w:r>
        <w:t xml:space="preserve">of 5.03). Cragg crk also had among the lowest mean aromaticity, though it tied with Judge crk (mean E</w:t>
      </w:r>
      <w:r>
        <w:rPr>
          <w:vertAlign w:val="subscript"/>
        </w:rPr>
        <w:t xml:space="preserve">2</w:t>
      </w:r>
      <w:r>
        <w:t xml:space="preserve">:E</w:t>
      </w:r>
      <w:r>
        <w:rPr>
          <w:vertAlign w:val="subscript"/>
        </w:rPr>
        <w:t xml:space="preserve">3</w:t>
      </w:r>
      <w:r>
        <w:t xml:space="preserve"> </w:t>
      </w:r>
      <w:r>
        <w:t xml:space="preserve">of 4.59), abd both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28"/>
        <w:gridCol w:w="1605"/>
        <w:gridCol w:w="214"/>
        <w:gridCol w:w="784"/>
        <w:gridCol w:w="356"/>
        <w:gridCol w:w="356"/>
        <w:gridCol w:w="784"/>
        <w:gridCol w:w="784"/>
        <w:gridCol w:w="891"/>
        <w:gridCol w:w="356"/>
        <w:gridCol w:w="356"/>
        <w:gridCol w:w="499"/>
        <w:gridCol w:w="49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Mean (m</w:t>
            </w:r>
            <w:r>
              <w:rPr>
                <w:vertAlign w:val="superscript"/>
              </w:rPr>
              <w:t xml:space="preserve">-1</w:t>
            </w:r>
            <w:r>
              <w:t xml:space="preserve">)</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Mean (unitless)</w:t>
            </w:r>
          </w:p>
        </w:tc>
        <w:tc>
          <w:tcPr>
            <w:tcBorders>
              <w:bottom w:val="single"/>
            </w:tcBorders>
            <w:vAlign w:val="bottom"/>
          </w:tcPr>
          <w:p>
            <w:pPr>
              <w:pStyle w:val="Compact"/>
              <w:jc w:val="right"/>
            </w:pPr>
            <w:r>
              <w:t xml:space="preserve">stdev (±)</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fluctuation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w:t>
      </w:r>
      <w:r>
        <w:t xml:space="preserve"> </w:t>
      </w:r>
      <w:r>
        <w:rPr>
          <w:i/>
        </w:rPr>
        <w:t xml:space="preserve">n</w:t>
      </w:r>
      <w:r>
        <w:t xml:space="preserve"> </w:t>
      </w:r>
      <w:r>
        <w:t xml:space="preserve">= 149) and during the transition from dry to wet seasons (first-flush event, R</w:t>
      </w:r>
      <w:r>
        <w:rPr>
          <w:vertAlign w:val="superscript"/>
        </w:rPr>
        <w:t xml:space="preserve">2</w:t>
      </w:r>
      <w:r>
        <w:t xml:space="preserve"> </w:t>
      </w:r>
      <w:r>
        <w:t xml:space="preserve">= 0.916,</w:t>
      </w:r>
      <w:r>
        <w:t xml:space="preserve"> </w:t>
      </w:r>
      <w:r>
        <w:rPr>
          <w:i/>
        </w:rPr>
        <w:t xml:space="preserve">n</w:t>
      </w:r>
      <w:r>
        <w:t xml:space="preserve"> </w:t>
      </w:r>
      <w:r>
        <w:t xml:space="preserve">= 14),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w:t>
      </w:r>
      <w:r>
        <w:t xml:space="preserve"> </w:t>
      </w:r>
      <w:r>
        <w:rPr>
          <w:i/>
        </w:rPr>
        <w:t xml:space="preserve">n</w:t>
      </w:r>
      <w:r>
        <w:t xml:space="preserve"> </w:t>
      </w:r>
      <w:r>
        <w:t xml:space="preserve">= 25).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e4f5bba6f7a4df2f68c57ee11879d430ca418e6"/>
      <w:r>
        <w:t xml:space="preserve">Spatiotemporal patterns &amp; event-based sampling at six monitoring sites in the Leech watershed</w:t>
      </w:r>
      <w:bookmarkEnd w:id="77"/>
    </w:p>
    <w:p>
      <w:pPr>
        <w:pStyle w:val="FirstParagraph"/>
      </w:pPr>
      <w:r>
        <w:t xml:space="preserve"> </w:t>
      </w:r>
    </w:p>
    <w:p>
      <w:pPr>
        <w:pStyle w:val="BodyText"/>
      </w:pPr>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NOM concentrations on average than Grab samples (6.8 mg/L compared to 5.2 mg/L DOC). Event-based samples also carried NOM with greater aromaticity and reactivity (21.37 m</w:t>
      </w:r>
      <w:r>
        <w:rPr>
          <w:vertAlign w:val="superscript"/>
        </w:rPr>
        <w:t xml:space="preserve">-1</w:t>
      </w:r>
      <w:r>
        <w:t xml:space="preserve">) compared to inter-event samples (17.03 m</w:t>
      </w:r>
      <w:r>
        <w:rPr>
          <w:vertAlign w:val="superscript"/>
        </w:rPr>
        <w:t xml:space="preserve">-1</w:t>
      </w:r>
      <w:r>
        <w:t xml:space="preserve">). A slightly greater variance (relative standard deviation, RSD) in both concentration and character was captured through Grab sampling (±53% DOC and ±44% for SAC</w:t>
      </w:r>
      <w:r>
        <w:rPr>
          <w:vertAlign w:val="subscript"/>
        </w:rPr>
        <w:t xml:space="preserve">254</w:t>
      </w:r>
      <w:r>
        <w:t xml:space="preserve">) compared to Rack sampling (±41% DOC and ±32% for SAC</w:t>
      </w:r>
      <w:r>
        <w:rPr>
          <w:vertAlign w:val="subscript"/>
        </w:rPr>
        <w:t xml:space="preserve">254</w:t>
      </w:r>
      <w:r>
        <w:t xml:space="preserve">).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 xml:space="preserve">254</w:t>
      </w:r>
      <w:r>
        <w:t xml:space="preserve"> </w:t>
      </w:r>
      <w:r>
        <w:t xml:space="preserve">was 18.92 m</w:t>
      </w:r>
      <w:r>
        <w:rPr>
          <w:vertAlign w:val="superscript"/>
        </w:rPr>
        <w:t xml:space="preserve">-1</w:t>
      </w:r>
      <w:r>
        <w:t xml:space="preserve"> </w:t>
      </w:r>
      <w:r>
        <w:t xml:space="preserve">(Table</w:t>
      </w:r>
      <w:r>
        <w:t xml:space="preserve"> </w:t>
      </w:r>
      <w:r>
        <w:t xml:space="preserve">12</w:t>
      </w:r>
      <w:r>
        <w:t xml:space="preserve">).</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For NOM character, Leech-head and Weeks crk both had slightly higher average aromaticity collected in Grab samples compared to Rack samples; at each of these two sites, the highest minimum concentration was collected by Grab sample (Table</w:t>
      </w:r>
      <w:r>
        <w:t xml:space="preserve"> </w:t>
      </w:r>
      <w:r>
        <w:t xml:space="preserve">13</w:t>
      </w:r>
      <w:r>
        <w:t xml:space="preserve">). The other four monitoring sites all showed greater aromaticity in Vertical Rack samples than in Grab samples.</w:t>
      </w:r>
    </w:p>
    <w:p>
      <w:pPr>
        <w:pStyle w:val="BodyText"/>
      </w:pPr>
      <w:r>
        <w:t xml:space="preserve">Weeks crk had the highest DOC and greatest aromaticity overall. Weeks had slightly higher concentrations occurring during stream rise (10.3 mg/L mean) compared to between events (9.3 mg/L mean). Meanwhile, SAC</w:t>
      </w:r>
      <w:r>
        <w:rPr>
          <w:vertAlign w:val="subscript"/>
        </w:rPr>
        <w:t xml:space="preserve">254</w:t>
      </w:r>
      <w:r>
        <w:t xml:space="preserve"> </w:t>
      </w:r>
      <w:r>
        <w:t xml:space="preserve">in Rack samples was lower with greater variability (28.7 m</w:t>
      </w:r>
      <w:r>
        <w:rPr>
          <w:vertAlign w:val="superscript"/>
        </w:rPr>
        <w:t xml:space="preserve">-1</w:t>
      </w:r>
      <w:r>
        <w:t xml:space="preserve"> </w:t>
      </w:r>
      <w:r>
        <w:t xml:space="preserve">± 47%) compared to Grab samples (33.0 m</w:t>
      </w:r>
      <w:r>
        <w:rPr>
          <w:vertAlign w:val="superscript"/>
        </w:rPr>
        <w:t xml:space="preserve">-1</w:t>
      </w:r>
      <w:r>
        <w:t xml:space="preserve"> </w:t>
      </w:r>
      <w:r>
        <w:t xml:space="preserve">± 9%). A similar pattern was seen downstream at Leech-head, where Rack samples had slightly lower and less consistent aromaticity (24.04 m</w:t>
      </w:r>
      <w:r>
        <w:rPr>
          <w:vertAlign w:val="superscript"/>
        </w:rPr>
        <w:t xml:space="preserve">-1</w:t>
      </w:r>
      <w:r>
        <w:t xml:space="preserve"> </w:t>
      </w:r>
      <w:r>
        <w:t xml:space="preserve">± 26%) than Grab samples (24.92 m</w:t>
      </w:r>
      <w:r>
        <w:rPr>
          <w:vertAlign w:val="superscript"/>
        </w:rPr>
        <w:t xml:space="preserve">-1</w:t>
      </w:r>
      <w:r>
        <w:t xml:space="preserve"> </w:t>
      </w:r>
      <w:r>
        <w:t xml:space="preserve">± 8%). The other sites showed greater aromaticity and higher variance in Rack samples than Grabs (Table</w:t>
      </w:r>
      <w:r>
        <w:t xml:space="preserve"> </w:t>
      </w:r>
      <w:r>
        <w:t xml:space="preserve">13</w:t>
      </w:r>
      <w:r>
        <w:t xml:space="preserve">). The difference observed at the Weeks crk site was likely due to inter-event flows being sustained by more aromatic water from this sub-basin’s wetlands and lake, and event flows being more dilute in character due to precipitation inputs.</w:t>
      </w:r>
    </w:p>
    <w:p>
      <w:pPr>
        <w:pStyle w:val="BodyText"/>
      </w:pPr>
      <w:r>
        <w:t xml:space="preserve">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12</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18.74</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37.07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19.07</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39.82</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9.04</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13.52</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9.16</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30.72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11.64</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28.23</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10.57</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29.03</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7.47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24.00</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8.22</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24.87</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9.08</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20.22</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10.95</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31.18</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8.85</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19.02</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9.02</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27.49</w:t>
            </w:r>
          </w:p>
        </w:tc>
      </w:tr>
    </w:tbl>
    <w:p>
      <w:pPr>
        <w:pStyle w:val="BodyText"/>
      </w:pPr>
      <w:r>
        <w:t xml:space="preserve"> </w:t>
      </w:r>
    </w:p>
    <w:p>
      <w:pPr>
        <w:pStyle w:val="CaptionedFigure"/>
      </w:pPr>
      <w:r>
        <w:drawing>
          <wp:inline>
            <wp:extent cx="5943600" cy="3820885"/>
            <wp:effectExtent b="0" l="0" r="0" t="0"/>
            <wp:docPr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 xml:space="preserve">254</w:t>
      </w:r>
      <w:r>
        <w:t xml:space="preserve">), which indicates NOM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and conditions to identify possible drivers that could explain differenced between site’s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 xml:space="preserve">254</w:t>
      </w:r>
      <w:r>
        <w:t xml:space="preserve"> </w:t>
      </w:r>
      <w:r>
        <w:t xml:space="preserve">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Overall, there was negligible difference in NOM concentrations between seasons; both wet and dry seasons had mean DOC of 6 ± 3 mg/L . Overall, stream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However, reservoir dynamics would likely alter the concentration and character of stream DOC prior to intake for drinking water treatment.</w:t>
      </w:r>
    </w:p>
    <w:p>
      <w:pPr>
        <w:pStyle w:val="BodyText"/>
      </w:pPr>
      <w:r>
        <w:t xml:space="preserve"> </w:t>
      </w:r>
    </w:p>
    <w:p>
      <w:pPr>
        <w:pStyle w:val="BodyText"/>
      </w:pPr>
      <w:r>
        <w:t xml:space="preserve">While concentrations remained similar on average over seasons, NOM character was considerably more aromatic in the wet season (18.33 m</w:t>
      </w:r>
      <w:r>
        <w:rPr>
          <w:vertAlign w:val="superscript"/>
        </w:rPr>
        <w:t xml:space="preserve">-1</w:t>
      </w:r>
      <w:r>
        <w:t xml:space="preserve"> </w:t>
      </w:r>
      <w:r>
        <w:t xml:space="preserve">± 44%) than in the dry season (8.99 m</w:t>
      </w:r>
      <w:r>
        <w:rPr>
          <w:vertAlign w:val="superscript"/>
        </w:rPr>
        <w:t xml:space="preserve">-1</w:t>
      </w:r>
      <w:r>
        <w:t xml:space="preserve"> </w:t>
      </w:r>
      <w:r>
        <w:t xml:space="preserve">± 63%). Seasonal changes in the relationship between DOC and SAC</w:t>
      </w:r>
      <w:r>
        <w:rPr>
          <w:vertAlign w:val="subscript"/>
        </w:rPr>
        <w:t xml:space="preserve">254</w:t>
      </w:r>
      <w:r>
        <w:t xml:space="preserve"> </w:t>
      </w:r>
      <w:r>
        <w:t xml:space="preserve">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summary-and-future-directions"/>
      <w:r>
        <w:t xml:space="preserve">Summary and future directions</w:t>
      </w:r>
      <w:bookmarkEnd w:id="82"/>
    </w:p>
    <w:p>
      <w:pPr>
        <w:pStyle w:val="FirstParagraph"/>
      </w:pPr>
      <w:r>
        <w:t xml:space="preserve">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9412f07105d07da2acfbf06a052fadb4118a49a"/>
      <w:r>
        <w:t xml:space="preserve">Watershed Characteristics and Sampling Conditions as Driving Forces for Dynamics of Aqueous Natural Organic Matter Across the Leech River Watershed</w:t>
      </w:r>
      <w:bookmarkEnd w:id="83"/>
    </w:p>
    <w:p>
      <w:pPr>
        <w:pStyle w:val="FirstParagraph"/>
      </w:pPr>
      <w:r>
        <w:t xml:space="preserve"> </w:t>
      </w:r>
    </w:p>
    <w:p>
      <w:pPr>
        <w:pStyle w:val="Heading3"/>
      </w:pPr>
      <w:bookmarkStart w:id="84" w:name="synopsis-and-introduction"/>
      <w:r>
        <w:t xml:space="preserve">Synopsis and introduction</w:t>
      </w:r>
      <w:bookmarkEnd w:id="84"/>
    </w:p>
    <w:p>
      <w:pPr>
        <w:pStyle w:val="FirstParagraph"/>
      </w:pPr>
      <w:r>
        <w:t xml:space="preserve">The previous chapter showed that across the Greater Victoria Water Supply Area (GVWSA), the character of natural organic matter (NOM) shifted from aliphatic in the dry season to aromatic during the wet seasons. Additionally, Chapter 3 results confirmed that event-based Rack samples had higher DOC concentrations than standard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 </w:t>
      </w:r>
    </w:p>
    <w:p>
      <w:pPr>
        <w:pStyle w:val="BodyText"/>
      </w:pPr>
      <w:r>
        <w:t xml:space="preserve">Of the main tributaries to the Leech River mainstem, Cragg crk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 xml:space="preserve">2</w:t>
      </w:r>
      <w:r>
        <w:t xml:space="preserve"> </w:t>
      </w:r>
      <w:r>
        <w:t xml:space="preserve">sub-basin) compared to other streams draining catchments of similar size (i.e. Leech-head, 20.59 km</w:t>
      </w:r>
      <w:r>
        <w:rPr>
          <w:vertAlign w:val="superscript"/>
        </w:rPr>
        <w:t xml:space="preserve">2</w:t>
      </w:r>
      <w:r>
        <w:t xml:space="preserve"> </w:t>
      </w:r>
      <w:r>
        <w:t xml:space="preserve">sub-basin; and Cragg crk 28.06 km</w:t>
      </w:r>
      <w:r>
        <w:rPr>
          <w:vertAlign w:val="superscript"/>
        </w:rPr>
        <w:t xml:space="preserve">2</w:t>
      </w:r>
      <w:r>
        <w:t xml:space="preserve"> </w:t>
      </w:r>
      <w:r>
        <w:t xml:space="preserve">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pPr>
        <w:pStyle w:val="BodyText"/>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type 1) or the increase in sum of square errors (SSE, type 2). Type 1 of the variable importance measure (VIM) is calculated by permutation, where</w:t>
      </w:r>
      <w:r>
        <w:t xml:space="preserve"> </w:t>
      </w:r>
      <w:r>
        <w:t xml:space="preserve">“</w:t>
      </w:r>
      <w:r>
        <w:t xml:space="preserve">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VIM type 2</w:t>
      </w:r>
      <w:r>
        <w:t xml:space="preserve"> </w:t>
      </w:r>
      <w:r>
        <w:t xml:space="preserve">“</w:t>
      </w:r>
      <w:r>
        <w:t xml:space="preserve">is the total decrease in node impurities from splitting on the variable, averaged over all trees. For classification, the node impurity is measured by the Gini index. For regression, it is measured by residual sum of squares</w:t>
      </w:r>
      <w:r>
        <w:t xml:space="preserve">”</w:t>
      </w:r>
      <w:r>
        <w:t xml:space="preserve"> </w:t>
      </w:r>
      <w:r>
        <w:t xml:space="preserve">(Liaw and Wiener</w:t>
      </w:r>
      <w:r>
        <w:t xml:space="preserve"> </w:t>
      </w:r>
      <w:hyperlink w:anchor="ref-Liaw2018">
        <w:r>
          <w:rPr>
            <w:rStyle w:val="Hyperlink"/>
          </w:rPr>
          <w:t xml:space="preserve">2018</w:t>
        </w:r>
      </w:hyperlink>
      <w:r>
        <w:t xml:space="preserve">)</w:t>
      </w:r>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t xml:space="preserve">Storm events are understood to be a key driver for solute and particle mobilization in streams (e.g. </w:t>
      </w:r>
      <w:r>
        <w:t xml:space="preserve">Aguilera and Melack (</w:t>
      </w:r>
      <w:hyperlink w:anchor="ref-Aguilera2018">
        <w:r>
          <w:rPr>
            <w:rStyle w:val="Hyperlink"/>
          </w:rPr>
          <w:t xml:space="preserve">2018</w:t>
        </w:r>
      </w:hyperlink>
      <w:r>
        <w:t xml:space="preserve">)</w:t>
      </w:r>
      <w:r>
        <w:t xml:space="preserve">; …*</w:t>
      </w:r>
      <w:r>
        <w:rPr>
          <w:b/>
        </w:rPr>
        <w:t xml:space="preserve">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w:t>
      </w:r>
      <w:r>
        <w:t xml:space="preserve"> </w:t>
      </w:r>
      <w:r>
        <w:t xml:space="preserve">(Vaughan et al.</w:t>
      </w:r>
      <w:r>
        <w:t xml:space="preserve"> </w:t>
      </w:r>
      <w:hyperlink w:anchor="ref-Vaughan2019">
        <w:r>
          <w:rPr>
            <w:rStyle w:val="Hyperlink"/>
          </w:rPr>
          <w:t xml:space="preserve">2019</w:t>
        </w:r>
      </w:hyperlink>
      <w:r>
        <w:t xml:space="preserve">; 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Concentration-discharge hysteresis may be due to episodic flushing of material or from component mixing processes</w:t>
      </w:r>
      <w:r>
        <w:t xml:space="preserve"> </w:t>
      </w:r>
      <w:r>
        <w:t xml:space="preserve">(Evans and Davies</w:t>
      </w:r>
      <w:r>
        <w:t xml:space="preserve"> </w:t>
      </w:r>
      <w:hyperlink w:anchor="ref-Evans1998">
        <w:r>
          <w:rPr>
            <w:rStyle w:val="Hyperlink"/>
          </w:rPr>
          <w:t xml:space="preserve">1998</w:t>
        </w:r>
      </w:hyperlink>
      <w:r>
        <w:t xml:space="preserve">)</w:t>
      </w:r>
      <w:r>
        <w:t xml:space="preserve">. Information about flow-paths and source pools can be obtained from four elements of the C-Q relationship plot: the shape (linear, circular, figure-eight), the direction of a hysteresis loop, the magnitude, and the direction of slope</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Concentration-discharge relationships (C-Q) can elucidate flow-paths and aid in estimating proportional streamflow contributions (i.e. subsurface vs. overland, or near-stream vs. upland)</w:t>
      </w:r>
      <w:r>
        <w:t xml:space="preserve"> </w:t>
      </w:r>
      <w:r>
        <w:t xml:space="preserve">(Evans, Davies, and Murdoch</w:t>
      </w:r>
      <w:r>
        <w:t xml:space="preserve"> </w:t>
      </w:r>
      <w:hyperlink w:anchor="ref-Evans1999">
        <w:r>
          <w:rPr>
            <w:rStyle w:val="Hyperlink"/>
          </w:rPr>
          <w:t xml:space="preserve">1999</w:t>
        </w:r>
      </w:hyperlink>
      <w:r>
        <w:t xml:space="preserve">)</w:t>
      </w:r>
      <w:r>
        <w:t xml:space="preserve">. C-Q can be used to determine whether a catchment’s solute export regime is chemostatic or chemodynamic</w:t>
      </w:r>
      <w:r>
        <w:t xml:space="preserve"> </w:t>
      </w:r>
      <w:r>
        <w:t xml:space="preserve">(Musolff et al.</w:t>
      </w:r>
      <w:r>
        <w:t xml:space="preserve"> </w:t>
      </w:r>
      <w:hyperlink w:anchor="ref-Musolff2015">
        <w:r>
          <w:rPr>
            <w:rStyle w:val="Hyperlink"/>
          </w:rPr>
          <w:t xml:space="preserve">2015</w:t>
        </w:r>
      </w:hyperlink>
      <w:r>
        <w:t xml:space="preserve">)</w:t>
      </w:r>
      <w:r>
        <w:t xml:space="preserve">. In an assessment of ~400 stream events in coastal California, Aguilera and Melack</w:t>
      </w:r>
      <w:r>
        <w:t xml:space="preserve"> </w:t>
      </w:r>
      <w:r>
        <w:t xml:space="preserve">(</w:t>
      </w:r>
      <w:hyperlink w:anchor="ref-Aguilera2018">
        <w:r>
          <w:rPr>
            <w:rStyle w:val="Hyperlink"/>
          </w:rPr>
          <w:t xml:space="preserve">2018</w:t>
        </w:r>
      </w:hyperlink>
      <w:r>
        <w:t xml:space="preserve">)</w:t>
      </w:r>
      <w:r>
        <w:t xml:space="preserve"> </w:t>
      </w:r>
      <w:r>
        <w:t xml:space="preserve">found that sediment-associated concentrations peaked during high flows but dissolved nitrogen species had hysteretic behaviour with flow, the direction of which differed depending on land-use.</w:t>
      </w:r>
    </w:p>
    <w:p>
      <w:pPr>
        <w:pStyle w:val="BodyText"/>
      </w:pPr>
      <w:r>
        <w:t xml:space="preserve"> </w:t>
      </w:r>
    </w:p>
    <w:p>
      <w:pPr>
        <w:pStyle w:val="BodyText"/>
      </w:pPr>
      <w:r>
        <w:t xml:space="preserve">Dominant sources and flow paths during events can be inferred from the slope (positive or negative) and the direction of the hysteresis loop rotation</w:t>
      </w:r>
      <w:r>
        <w:t xml:space="preserve"> </w:t>
      </w:r>
      <w:r>
        <w:t xml:space="preserve">(Evans and Davies</w:t>
      </w:r>
      <w:r>
        <w:t xml:space="preserve"> </w:t>
      </w:r>
      <w:hyperlink w:anchor="ref-Evans1998">
        <w:r>
          <w:rPr>
            <w:rStyle w:val="Hyperlink"/>
          </w:rPr>
          <w:t xml:space="preserve">1998</w:t>
        </w:r>
      </w:hyperlink>
      <w:r>
        <w:t xml:space="preserve">; Aguilera and Melack</w:t>
      </w:r>
      <w:r>
        <w:t xml:space="preserve"> </w:t>
      </w:r>
      <w:hyperlink w:anchor="ref-Aguilera2018">
        <w:r>
          <w:rPr>
            <w:rStyle w:val="Hyperlink"/>
          </w:rPr>
          <w:t xml:space="preserve">2018</w:t>
        </w:r>
      </w:hyperlink>
      <w:r>
        <w:t xml:space="preserve">)</w:t>
      </w:r>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Evans et al. </w:t>
      </w:r>
      <w:r>
        <w:t xml:space="preserve">(</w:t>
      </w:r>
      <w:hyperlink w:anchor="ref-Evans1999">
        <w:r>
          <w:rPr>
            <w:rStyle w:val="Hyperlink"/>
          </w:rPr>
          <w:t xml:space="preserve">1999</w:t>
        </w:r>
      </w:hyperlink>
      <w:r>
        <w:t xml:space="preserve">)</w:t>
      </w:r>
      <w:r>
        <w:t xml:space="preserve"> </w:t>
      </w:r>
      <w:r>
        <w:t xml:space="preserve">determined that C-Q analysis requires a minimum of five samples to determine the rotational direction of hysteresis: pre and post episode low-flow, rising and falling limbs and near to peak Q.</w:t>
      </w:r>
    </w:p>
    <w:p>
      <w:pPr>
        <w:pStyle w:val="BodyText"/>
      </w:pPr>
      <w:r>
        <w:t xml:space="preserve"> </w:t>
      </w:r>
    </w:p>
    <w:p>
      <w:pPr>
        <w:pStyle w:val="BodyText"/>
      </w:pPr>
      <w:r>
        <w:t xml:space="preserve">Using end-member mixing, with hydrometric monitoring and carbon isotope (δ</w:t>
      </w:r>
      <w:r>
        <w:rPr>
          <w:vertAlign w:val="superscript"/>
        </w:rPr>
        <w:t xml:space="preserve">13</w:t>
      </w:r>
      <w:r>
        <w:t xml:space="preserve">C</w:t>
      </w:r>
      <w:r>
        <w:rPr>
          <w:vertAlign w:val="subscript"/>
        </w:rPr>
        <w:t xml:space="preserve">DOC</w:t>
      </w:r>
      <w:r>
        <w:t xml:space="preserve">) data, Lambert et al. </w:t>
      </w:r>
      <w:r>
        <w:t xml:space="preserve">(</w:t>
      </w:r>
      <w:hyperlink w:anchor="ref-Lambert2014">
        <w:r>
          <w:rPr>
            <w:rStyle w:val="Hyperlink"/>
          </w:rPr>
          <w:t xml:space="preserve">2014</w:t>
        </w:r>
      </w:hyperlink>
      <w:r>
        <w:t xml:space="preserve">)</w:t>
      </w:r>
      <w:r>
        <w:t xml:space="preserve"> </w:t>
      </w:r>
      <w:r>
        <w:t xml:space="preserve">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r>
        <w:t xml:space="preserve">(</w:t>
      </w:r>
      <w:hyperlink w:anchor="ref-Lambert2014">
        <w:r>
          <w:rPr>
            <w:rStyle w:val="Hyperlink"/>
          </w:rPr>
          <w:t xml:space="preserve">2014</w:t>
        </w:r>
      </w:hyperlink>
      <w:r>
        <w:t xml:space="preserve">)</w:t>
      </w:r>
      <w:r>
        <w:t xml:space="preserve"> </w:t>
      </w:r>
      <w:r>
        <w:t xml:space="preserve">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w:t>
      </w:r>
      <w:r>
        <w:t xml:space="preserve"> </w:t>
      </w:r>
      <w:r>
        <w:t xml:space="preserve">(Aguilera and Melack</w:t>
      </w:r>
      <w:r>
        <w:t xml:space="preserve"> </w:t>
      </w:r>
      <w:hyperlink w:anchor="ref-Aguilera2018">
        <w:r>
          <w:rPr>
            <w:rStyle w:val="Hyperlink"/>
          </w:rPr>
          <w:t xml:space="preserve">2018</w:t>
        </w:r>
      </w:hyperlink>
      <w:r>
        <w:t xml:space="preserve">)</w:t>
      </w:r>
      <w:r>
        <w:t xml:space="preserve">.</w:t>
      </w:r>
    </w:p>
    <w:p>
      <w:pPr>
        <w:pStyle w:val="BodyText"/>
      </w:pPr>
      <w:r>
        <w:t xml:space="preserve"> </w:t>
      </w:r>
    </w:p>
    <w:p>
      <w:pPr>
        <w:pStyle w:val="BodyText"/>
      </w:pPr>
      <w:r>
        <w:t xml:space="preserve">add info about ANTECEDENT CONDITIONS?</w:t>
      </w:r>
    </w:p>
    <w:p>
      <w:pPr>
        <w:pStyle w:val="BodyText"/>
      </w:pPr>
      <w:r>
        <w:t xml:space="preserve"> </w:t>
      </w:r>
    </w:p>
    <w:p>
      <w:pPr>
        <w:pStyle w:val="Heading3"/>
      </w:pPr>
      <w:bookmarkStart w:id="87" w:name="methods"/>
      <w:r>
        <w:t xml:space="preserve">Methods</w:t>
      </w:r>
      <w:bookmarkEnd w:id="87"/>
    </w:p>
    <w:p>
      <w:pPr>
        <w:pStyle w:val="FirstParagraph"/>
      </w:pPr>
      <w:r>
        <w:t xml:space="preserve"> </w:t>
      </w:r>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w:t>
      </w:r>
      <w:r>
        <w:t xml:space="preserve">‘</w:t>
      </w:r>
      <w:r>
        <w:t xml:space="preserve">Leech-head</w:t>
      </w:r>
      <w:r>
        <w:t xml:space="preserve">’</w:t>
      </w:r>
      <w:r>
        <w:t xml:space="preserve">),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drainage of the entire Leech WSA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pPr>
        <w:pStyle w:val="BodyText"/>
      </w:pPr>
      <w:r>
        <w:t xml:space="preserve"> </w:t>
      </w:r>
    </w:p>
    <w:p>
      <w:pPr>
        <w:pStyle w:val="BodyText"/>
      </w:pPr>
      <w:r>
        <w:t xml:space="preserve">Surficial materials and soils in the Leech WSA were predominantly podzolic with approximately 50% of the parent material in each sub-basin composed of colluvial deposits with O-HFP development (orthic humo-ferric podzol). The second most dominant parent material for soil was till (morainal) with duric humo-ferric podzol (DU-HFP) soil development in all sub-basins except for West Leech, which had till-based O-HFP soils</w:t>
      </w:r>
      <w:r>
        <w:t xml:space="preserve"> </w:t>
      </w:r>
      <w:r>
        <w:t xml:space="preserve">(Government of Canada</w:t>
      </w:r>
      <w:r>
        <w:t xml:space="preserve"> </w:t>
      </w:r>
      <w:hyperlink w:anchor="ref-SoilsCanada2018">
        <w:r>
          <w:rPr>
            <w:rStyle w:val="Hyperlink"/>
          </w:rPr>
          <w:t xml:space="preserve">2018</w:t>
        </w:r>
      </w:hyperlink>
      <w:r>
        <w:t xml:space="preserve">)</w:t>
      </w:r>
      <w:r>
        <w:t xml:space="preserve">. DU-HFP differs from O-HFP by the presence of a strongly cemented layer (duric horizon) that is unlike the B horizon in O-HFP</w:t>
      </w:r>
      <w:r>
        <w:t xml:space="preserve"> </w:t>
      </w:r>
      <w:r>
        <w:t xml:space="preserve">(Canadian Society of Soil Science</w:t>
      </w:r>
      <w:r>
        <w:t xml:space="preserve"> </w:t>
      </w:r>
      <w:hyperlink w:anchor="ref-SoilScience2020">
        <w:r>
          <w:rPr>
            <w:rStyle w:val="Hyperlink"/>
          </w:rPr>
          <w:t xml:space="preserve">2020</w:t>
        </w:r>
      </w:hyperlink>
      <w:r>
        <w:t xml:space="preserve">)</w:t>
      </w:r>
      <w:r>
        <w:t xml:space="preserve">. Both DU-HFP and O-HFP are well drained, or moderately so, and O-HFP tends to be acidic (pH &lt; 5.6) while DU-HFP is generally moderately acidic to neutral (pH 5.6 - 7.4)</w:t>
      </w:r>
      <w:r>
        <w:t xml:space="preserve"> </w:t>
      </w:r>
      <w:r>
        <w:t xml:space="preserve">(Government of Canada</w:t>
      </w:r>
      <w:r>
        <w:t xml:space="preserve"> </w:t>
      </w:r>
      <w:hyperlink w:anchor="ref-SoilsCanada2018">
        <w:r>
          <w:rPr>
            <w:rStyle w:val="Hyperlink"/>
          </w:rPr>
          <w:t xml:space="preserve">2018</w:t>
        </w:r>
      </w:hyperlink>
      <w:r>
        <w:t xml:space="preserve">)</w:t>
      </w:r>
      <w:r>
        <w:t xml:space="preserve">. There was a small amount of poorly drained terric mesisol (T.M., undifferentiated organic soil) present only in the Weeks crk sub-basin (Table</w:t>
      </w:r>
      <w:r>
        <w:t xml:space="preserve"> </w:t>
      </w:r>
      <w:r>
        <w:t xml:space="preserve">14</w:t>
      </w:r>
      <w:r>
        <w:t xml:space="preserve">).</w:t>
      </w:r>
    </w:p>
    <w:p>
      <w:pPr>
        <w:pStyle w:val="BodyText"/>
      </w:pPr>
      <w:r>
        <w:t xml:space="preserve"> </w:t>
      </w:r>
    </w:p>
    <w:p>
      <w:pPr>
        <w:pStyle w:val="BodyText"/>
      </w:pPr>
      <w:r>
        <w:t xml:space="preserve">There were a few notable differences in subsurface geology between sub-basins (Table</w:t>
      </w:r>
      <w:r>
        <w:t xml:space="preserve"> </w:t>
      </w:r>
      <w:r>
        <w:t xml:space="preserve">14</w:t>
      </w:r>
      <w:r>
        <w:t xml:space="preserve">). West Leech was characterized by the absence of wark gneiss and chert argillite volcanic parent materials (0%), which were present in all other sub-basins. Both Weeks crk and West Leech sub-basins were dominated by argillite metagreywacke parent material (64% and 77%, respectively). West Leech was also underlain by metagreywacke (7%) and Metchosin volcanics (16%), which were absent in each of the other monitoring sub-basins. Cragg crk sub-basin (site 4) was underlain predominantly by metamorphic wark gneiss (78%) with no argillite metagreywacke parent material (0%). Metagreywacke parent materials are part of the metasedimentary Leech River Formation, where metagreywacke is meta-sandstone and argillite metagreywacke is more of a meta-mudstone</w:t>
      </w:r>
      <w:r>
        <w:t xml:space="preserve"> </w:t>
      </w:r>
      <w:r>
        <w:t xml:space="preserve">(Groome et al.</w:t>
      </w:r>
      <w:r>
        <w:t xml:space="preserve"> </w:t>
      </w:r>
      <w:hyperlink w:anchor="ref-Groome2003">
        <w:r>
          <w:rPr>
            <w:rStyle w:val="Hyperlink"/>
          </w:rPr>
          <w:t xml:space="preserve">2003</w:t>
        </w:r>
      </w:hyperlink>
      <w:r>
        <w:t xml:space="preserve">)</w:t>
      </w:r>
      <w:r>
        <w:t xml:space="preserve">. The Leech River Formation tends to be more erodible than wark-gneiss</w:t>
      </w:r>
      <w:r>
        <w:t xml:space="preserve"> </w:t>
      </w:r>
      <w:r>
        <w:t xml:space="preserve">(Ussery and AECOM</w:t>
      </w:r>
      <w:r>
        <w:t xml:space="preserve"> </w:t>
      </w:r>
      <w:hyperlink w:anchor="ref-Ussery2015">
        <w:r>
          <w:rPr>
            <w:rStyle w:val="Hyperlink"/>
          </w:rPr>
          <w:t xml:space="preserve">2015</w:t>
        </w:r>
      </w:hyperlink>
      <w:r>
        <w:t xml:space="preserve">)</w:t>
      </w:r>
      <w:r>
        <w:t xml:space="preserve">. Chris crk and Cragg crk sub-basins had no metasedimentary parent material of the Leech River Formation.</w:t>
      </w:r>
    </w:p>
    <w:p>
      <w:pPr>
        <w:pStyle w:val="BodyText"/>
      </w:pPr>
      <w:r>
        <w:t xml:space="preserve"> </w:t>
      </w:r>
    </w:p>
    <w:p>
      <w:pPr>
        <w:pStyle w:val="BodyText"/>
      </w:pPr>
      <w:r>
        <w:t xml:space="preserve">At the surface, Weeks crk sub-basin had the greatest proportion of wetland and open water compared to the other sub-basin sites (Table</w:t>
      </w:r>
      <w:r>
        <w:t xml:space="preserve"> </w:t>
      </w:r>
      <w:r>
        <w:t xml:space="preserve">14</w:t>
      </w:r>
      <w:r>
        <w:t xml:space="preserve">). Cragg crk sub-basin had the oldest average tree age (59 years). By area, the most heavily harvested basin since 1980 was the Chris crk sub-basin (63% harvested), then Leech-head and Cragg crk sub-basins (43% and 41% harvested, respectively). West Leech was the least harvested between 1980 and 2011 (26%), followed by Weeks crk sub-basin (28% harvested, but is also 7% open water and wetland), followed by the entire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Groups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Groups ([S])."/>
      </w:tblPr>
      <w:tblGrid>
        <w:gridCol w:w="2165"/>
        <w:gridCol w:w="797"/>
        <w:gridCol w:w="797"/>
        <w:gridCol w:w="968"/>
        <w:gridCol w:w="797"/>
        <w:gridCol w:w="854"/>
        <w:gridCol w:w="1538"/>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 (1)</w:t>
            </w:r>
          </w:p>
        </w:tc>
        <w:tc>
          <w:tcPr>
            <w:tcBorders>
              <w:bottom w:val="single"/>
            </w:tcBorders>
            <w:vAlign w:val="bottom"/>
          </w:tcPr>
          <w:p>
            <w:pPr>
              <w:pStyle w:val="Compact"/>
              <w:jc w:val="left"/>
            </w:pPr>
            <w:r>
              <w:t xml:space="preserve">Chris crk (2)</w:t>
            </w:r>
          </w:p>
        </w:tc>
        <w:tc>
          <w:tcPr>
            <w:tcBorders>
              <w:bottom w:val="single"/>
            </w:tcBorders>
            <w:vAlign w:val="bottom"/>
          </w:tcPr>
          <w:p>
            <w:pPr>
              <w:pStyle w:val="Compact"/>
              <w:jc w:val="left"/>
            </w:pPr>
            <w:r>
              <w:t xml:space="preserve">Leech-head (3)</w:t>
            </w:r>
          </w:p>
        </w:tc>
        <w:tc>
          <w:tcPr>
            <w:tcBorders>
              <w:bottom w:val="single"/>
            </w:tcBorders>
            <w:vAlign w:val="bottom"/>
          </w:tcPr>
          <w:p>
            <w:pPr>
              <w:pStyle w:val="Compact"/>
              <w:jc w:val="left"/>
            </w:pPr>
            <w:r>
              <w:t xml:space="preserve">Cragg crk (4)</w:t>
            </w:r>
          </w:p>
        </w:tc>
        <w:tc>
          <w:tcPr>
            <w:tcBorders>
              <w:bottom w:val="single"/>
            </w:tcBorders>
            <w:vAlign w:val="bottom"/>
          </w:tcPr>
          <w:p>
            <w:pPr>
              <w:pStyle w:val="Compact"/>
              <w:jc w:val="left"/>
            </w:pPr>
            <w:r>
              <w:t xml:space="preserve">West Leech (5)</w:t>
            </w:r>
          </w:p>
        </w:tc>
        <w:tc>
          <w:tcPr>
            <w:tcBorders>
              <w:bottom w:val="single"/>
            </w:tcBorders>
            <w:vAlign w:val="bottom"/>
          </w:tcPr>
          <w:p>
            <w:pPr>
              <w:pStyle w:val="Compact"/>
              <w:jc w:val="left"/>
            </w:pPr>
            <w:r>
              <w:t xml:space="preserve">Leech Tunnel (6)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w:t>
            </w:r>
          </w:p>
        </w:tc>
        <w:tc>
          <w:p>
            <w:pPr>
              <w:pStyle w:val="Compact"/>
              <w:jc w:val="left"/>
            </w:pPr>
            <w:r>
              <w:t xml:space="preserve">Headwater</w:t>
            </w:r>
          </w:p>
        </w:tc>
        <w:tc>
          <w:p>
            <w:pPr>
              <w:pStyle w:val="Compact"/>
              <w:jc w:val="left"/>
            </w:pPr>
            <w:r>
              <w:t xml:space="preserve">Leech Rv. (head)</w:t>
            </w:r>
          </w:p>
        </w:tc>
        <w:tc>
          <w:p>
            <w:pPr>
              <w:pStyle w:val="Compact"/>
              <w:jc w:val="left"/>
            </w:pPr>
            <w:r>
              <w:t xml:space="preserve">Major trib.</w:t>
            </w:r>
          </w:p>
        </w:tc>
        <w:tc>
          <w:p>
            <w:pPr>
              <w:pStyle w:val="Compact"/>
              <w:jc w:val="left"/>
            </w:pPr>
            <w:r>
              <w:t xml:space="preserve">Major trib.</w:t>
            </w:r>
          </w:p>
        </w:tc>
        <w:tc>
          <w:p>
            <w:pPr>
              <w:pStyle w:val="Compact"/>
              <w:jc w:val="left"/>
            </w:pPr>
            <w:r>
              <w:t xml:space="preserve">Mainstem, future diversion</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t>
      </w:r>
      <w:r>
        <w:t xml:space="preserve">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0a3693c4e48e6ba001e862b0ed887799ff56edb"/>
      <w:r>
        <w:t xml:space="preserve">Random Forests predictor variable refinement &amp; quality control</w:t>
      </w:r>
      <w:bookmarkEnd w:id="90"/>
    </w:p>
    <w:p>
      <w:pPr>
        <w:pStyle w:val="FirstParagraph"/>
      </w:pPr>
      <w:r>
        <w:t xml:space="preserve">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sampling stage and antecedent weather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least harvested since 1980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Parent material variables were refined to metamorphic (wark gneiss) and igneous (Metchosin volcanics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pPr>
        <w:pStyle w:val="BodyText"/>
      </w:pPr>
      <w:r>
        <w:t xml:space="preserve"> </w:t>
      </w:r>
    </w:p>
    <w:p>
      <w:pPr>
        <w:pStyle w:val="BodyText"/>
      </w:pPr>
      <w:r>
        <w:t xml:space="preserve">The nine selected predictor variables for RF VIM assessment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 mean)</w:t>
      </w:r>
    </w:p>
    <w:p>
      <w:pPr>
        <w:pStyle w:val="Compact"/>
        <w:numPr>
          <w:numId w:val="1002"/>
          <w:ilvl w:val="0"/>
        </w:numPr>
      </w:pPr>
      <w:r>
        <w:t xml:space="preserve">antecedent 30-day rain (mm, total)</w:t>
      </w:r>
    </w:p>
    <w:p>
      <w:pPr>
        <w:pStyle w:val="Compact"/>
        <w:numPr>
          <w:numId w:val="1002"/>
          <w:ilvl w:val="0"/>
        </w:numPr>
      </w:pPr>
      <w:r>
        <w:t xml:space="preserve">sampling stage (normalized)</w:t>
      </w:r>
    </w:p>
    <w:p>
      <w:pPr>
        <w:pStyle w:val="FirstParagraph"/>
      </w:pPr>
      <w:r>
        <w:t xml:space="preserve"> </w:t>
      </w:r>
    </w:p>
    <w:p>
      <w:pPr>
        <w:pStyle w:val="BodyText"/>
      </w:pPr>
      <w:r>
        <w:t xml:space="preserve">Sampling stages for each site were scaled (min-max-normalized) to account for differences between Vertical Rack installations and to allow for comparison between sites (example calculation in Appendix</w:t>
      </w:r>
      <w:r>
        <w:t xml:space="preserve"> </w:t>
      </w:r>
      <w:r>
        <w:rPr>
          <w:i/>
        </w:rPr>
        <w:t xml:space="preserve">XXXX</w:t>
      </w:r>
      <w:r>
        <w:t xml:space="preserve">). For antecedent rain and air temperatures, different periods of time were considered in exploratory data analysis. Intervals of 3, 5, 7, 14, 21 and 30 days prior to sample collection were evaluated for cross-correlations and relative VIM results. The intervals of 30 days for antecedent rain and 7 days for antecedent air temperature were chosen because (1) they were not cross correlated with other predictor variables or each other and (2) each was more easily distinguished in VIM results than other interval options.</w:t>
      </w:r>
    </w:p>
    <w:p>
      <w:pPr>
        <w:pStyle w:val="BodyText"/>
      </w:pPr>
      <w:r>
        <w:t xml:space="preserve"> </w:t>
      </w:r>
    </w:p>
    <w:p>
      <w:pPr>
        <w:pStyle w:val="BodyText"/>
      </w:pPr>
      <w:r>
        <w:t xml:space="preserve">Furthermore, 30 days of rain could be considered as an indicator of overall antecedent landscape wetness, whereas shorter periods of rain may not have been adequate indicators of wetness due to interception, evaporation, or evapotranspiration losses.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 xml:space="preserve">2</w:t>
      </w:r>
      <w:r>
        <w:t xml:space="preserve">:E</w:t>
      </w:r>
      <w:r>
        <w:rPr>
          <w:vertAlign w:val="subscript"/>
        </w:rPr>
        <w:t xml:space="preserve">3</w:t>
      </w:r>
      <w:r>
        <w:t xml:space="preserve">,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pPr>
        <w:pStyle w:val="BodyText"/>
      </w:pPr>
      <w:r>
        <w:t xml:space="preserve"> </w:t>
      </w:r>
    </w:p>
    <w:p>
      <w:pPr>
        <w:pStyle w:val="BodyText"/>
      </w:pPr>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pPr>
        <w:pStyle w:val="BodyText"/>
      </w:pPr>
      <w:r>
        <w:t xml:space="preserve"> </w:t>
      </w:r>
    </w:p>
    <w:p>
      <w:pPr>
        <w:pStyle w:val="BodyText"/>
      </w:pPr>
      <w:r>
        <w:t xml:space="preserve">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pPr>
        <w:pStyle w:val="BodyText"/>
      </w:pPr>
      <w:r>
        <w:t xml:space="preserve"> </w:t>
      </w:r>
    </w:p>
    <w:p>
      <w:pPr>
        <w:pStyle w:val="BodyText"/>
      </w:pPr>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pPr>
        <w:pStyle w:val="BodyText"/>
      </w:pPr>
      <w:r>
        <w:t xml:space="preserve"> </w:t>
      </w:r>
    </w:p>
    <w:p>
      <w:pPr>
        <w:pStyle w:val="Heading4"/>
      </w:pPr>
      <w:bookmarkStart w:id="91" w:name="hysteresis-1"/>
      <w:r>
        <w:t xml:space="preserve">Hysteresis</w:t>
      </w:r>
      <w:bookmarkEnd w:id="91"/>
    </w:p>
    <w:p>
      <w:pPr>
        <w:pStyle w:val="FirstParagraph"/>
      </w:pPr>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w:t>
      </w:r>
    </w:p>
    <w:p>
      <w:pPr>
        <w:pStyle w:val="BodyText"/>
      </w:pPr>
      <w:r>
        <w:t xml:space="preserve"> </w:t>
      </w:r>
    </w:p>
    <w:p>
      <w:pPr>
        <w:pStyle w:val="BodyText"/>
      </w:pPr>
      <w:r>
        <w:t xml:space="preserve">For a C-Q hysteresis loop, clockwise rotation indicates rapid flushing and dilution, while counter-clockwise rotation indicates enrichment via delayed material delivery from distant (upstream) or deeper subsurface source pools</w:t>
      </w:r>
      <w:r>
        <w:t xml:space="preserve"> </w:t>
      </w:r>
      <w:r>
        <w:t xml:space="preserve">(Aguilera and Melack</w:t>
      </w:r>
      <w:r>
        <w:t xml:space="preserve"> </w:t>
      </w:r>
      <w:hyperlink w:anchor="ref-Aguilera2018">
        <w:r>
          <w:rPr>
            <w:rStyle w:val="Hyperlink"/>
          </w:rPr>
          <w:t xml:space="preserve">2018</w:t>
        </w:r>
      </w:hyperlink>
      <w:r>
        <w:t xml:space="preserve">)</w:t>
      </w:r>
      <w:r>
        <w:t xml:space="preserve">. Because of the assumed relationship between antecedent rain and streamflow, a similar interpretation was used here despite the absence of discharge data.</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
      <w:r>
        <w:t xml:space="preserve">Results</w:t>
      </w:r>
      <w:bookmarkEnd w:id="93"/>
    </w:p>
    <w:p>
      <w:pPr>
        <w:pStyle w:val="FirstParagraph"/>
      </w:pPr>
      <w:r>
        <w:t xml:space="preserve"> </w:t>
      </w:r>
    </w:p>
    <w:p>
      <w:pPr>
        <w:pStyle w:val="Heading4"/>
      </w:pPr>
      <w:bookmarkStart w:id="94" w:name="random-forest-variable-importance"/>
      <w:r>
        <w:t xml:space="preserve">Random Forest variable importance</w:t>
      </w:r>
      <w:bookmarkEnd w:id="94"/>
    </w:p>
    <w:p>
      <w:pPr>
        <w:pStyle w:val="FirstParagraph"/>
      </w:pPr>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randomForest (RF): type 1 measures the mean decrease in accuracy and type 2 measures the decrease in node impurity</w:t>
      </w:r>
      <w:r>
        <w:t xml:space="preserve"> </w:t>
      </w:r>
      <w:r>
        <w:t xml:space="preserve">(Liaw and Wiener</w:t>
      </w:r>
      <w:r>
        <w:t xml:space="preserve"> </w:t>
      </w:r>
      <w:hyperlink w:anchor="ref-Liaw2018">
        <w:r>
          <w:rPr>
            <w:rStyle w:val="Hyperlink"/>
          </w:rPr>
          <w:t xml:space="preserve">2018</w:t>
        </w:r>
      </w:hyperlink>
      <w:r>
        <w:t xml:space="preserve">)</w:t>
      </w:r>
      <w:r>
        <w:t xml:space="preserve">.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w:t>
      </w:r>
      <w:r>
        <w:t xml:space="preserve"> </w:t>
      </w:r>
      <w:r>
        <w:t xml:space="preserve">(Liaw and Wiener</w:t>
      </w:r>
      <w:r>
        <w:t xml:space="preserve"> </w:t>
      </w:r>
      <w:hyperlink w:anchor="ref-Liaw2018">
        <w:r>
          <w:rPr>
            <w:rStyle w:val="Hyperlink"/>
          </w:rPr>
          <w:t xml:space="preserve">2018</w:t>
        </w:r>
      </w:hyperlink>
      <w:r>
        <w:t xml:space="preserve">)</w:t>
      </w:r>
      <w:r>
        <w:t xml:space="preserve">. These results clarified that type 1 VIM was the best choice and suggests that quantitative data is best assessed for VIM by mean decrease in accuracy (MSE, type 1) rather than mean decrease in node impurity (SSE, type 2).</w:t>
      </w:r>
    </w:p>
    <w:p>
      <w:pPr>
        <w:pStyle w:val="BodyText"/>
      </w:pPr>
      <w:r>
        <w:t xml:space="preserve"> </w:t>
      </w:r>
    </w:p>
    <w:p>
      <w:pPr>
        <w:pStyle w:val="BodyText"/>
      </w:pPr>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predictants were changed compared to when conditions and characteristics were analyzed separately (see Appendix</w:t>
      </w:r>
      <w:r>
        <w:t xml:space="preserve"> </w:t>
      </w:r>
      <w:r>
        <w:rPr>
          <w:i/>
        </w:rPr>
        <w:t xml:space="preserve">XXXX</w:t>
      </w:r>
      <w:r>
        <w:t xml:space="preserve">, Figure</w:t>
      </w:r>
      <w:r>
        <w:t xml:space="preserve"> </w:t>
      </w:r>
      <w:r>
        <w:t xml:space="preserve">40</w:t>
      </w:r>
      <w:r>
        <w:t xml:space="preserve">,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predictants (DOC,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with conditions and characteristics grouped separately.</w:t>
      </w:r>
    </w:p>
    <w:p>
      <w:pPr>
        <w:pStyle w:val="BodyText"/>
      </w:pPr>
      <w:r>
        <w:t xml:space="preserve"> </w:t>
      </w:r>
    </w:p>
    <w:p>
      <w:pPr>
        <w:pStyle w:val="Heading5"/>
      </w:pPr>
      <w:bookmarkStart w:id="95" w:name="doc-concentration"/>
      <w:r>
        <w:t xml:space="preserve">DOC: concentration</w:t>
      </w:r>
      <w:bookmarkEnd w:id="95"/>
    </w:p>
    <w:p>
      <w:pPr>
        <w:pStyle w:val="FirstParagraph"/>
      </w:pPr>
      <w:r>
        <w:t xml:space="preserve">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w:t>
      </w:r>
      <w:r>
        <w:t xml:space="preserve"> </w:t>
      </w:r>
      <w:r>
        <w:t xml:space="preserve">14</w:t>
      </w:r>
      <w:r>
        <w:t xml:space="preserve">).</w:t>
      </w:r>
    </w:p>
    <w:p>
      <w:pPr>
        <w:pStyle w:val="BodyText"/>
      </w:pPr>
      <w:r>
        <w:t xml:space="preserve"> </w:t>
      </w:r>
    </w:p>
    <w:p>
      <w:pPr>
        <w:pStyle w:val="CaptionedFigure"/>
      </w:pPr>
      <w:r>
        <w:drawing>
          <wp:inline>
            <wp:extent cx="5504749" cy="3669832"/>
            <wp:effectExtent b="0" l="0" r="0" t="0"/>
            <wp:docPr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DOC.png" id="0" name="Picture"/>
                    <pic:cNvPicPr>
                      <a:picLocks noChangeArrowheads="1" noChangeAspect="1"/>
                    </pic:cNvPicPr>
                  </pic:nvPicPr>
                  <pic:blipFill>
                    <a:blip r:embed="rId9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7" w:name="sac254-reactivity-aromaticity"/>
      <w:r>
        <w:t xml:space="preserve">SAC</w:t>
      </w:r>
      <w:r>
        <w:rPr>
          <w:vertAlign w:val="subscript"/>
        </w:rPr>
        <w:t xml:space="preserve">254</w:t>
      </w:r>
      <w:r>
        <w:t xml:space="preserve">: reactivity &amp; aromaticity</w:t>
      </w:r>
      <w:bookmarkEnd w:id="97"/>
    </w:p>
    <w:p>
      <w:pPr>
        <w:pStyle w:val="FirstParagraph"/>
      </w:pPr>
      <w:r>
        <w:t xml:space="preserve">Like concentration, SAC</w:t>
      </w:r>
      <w:r>
        <w:rPr>
          <w:vertAlign w:val="subscript"/>
        </w:rPr>
        <w:t xml:space="preserve">254</w:t>
      </w:r>
      <w:r>
        <w:t xml:space="preserve"> </w:t>
      </w:r>
      <w:r>
        <w:t xml:space="preserve">was best predicted by sampling stage. Unlike DOC, SAC</w:t>
      </w:r>
      <w:r>
        <w:rPr>
          <w:vertAlign w:val="subscript"/>
        </w:rPr>
        <w:t xml:space="preserve">254</w:t>
      </w:r>
      <w:r>
        <w:t xml:space="preserve"> </w:t>
      </w:r>
      <w:r>
        <w:t xml:space="preserve">was relatively more sensitive to antecedent rain than air temperatures. The top three watershed characteristic predictors for NOM aromaticity and reactivity (SAC</w:t>
      </w:r>
      <w:r>
        <w:rPr>
          <w:vertAlign w:val="subscript"/>
        </w:rPr>
        <w:t xml:space="preserve">254</w:t>
      </w:r>
      <w:r>
        <w:t xml:space="preserve">) were slope, percent of the basin underlain by metamorphic parent material (wark gneiss), and logging history (Figure</w:t>
      </w:r>
      <w:r>
        <w:t xml:space="preserve"> </w:t>
      </w:r>
      <w:r>
        <w:t xml:space="preserve">15</w:t>
      </w:r>
      <w:r>
        <w:t xml:space="preserve">).</w:t>
      </w:r>
    </w:p>
    <w:p>
      <w:pPr>
        <w:pStyle w:val="BodyText"/>
      </w:pPr>
      <w:r>
        <w:t xml:space="preserve"> </w:t>
      </w:r>
    </w:p>
    <w:p>
      <w:pPr>
        <w:pStyle w:val="CaptionedFigure"/>
      </w:pPr>
      <w:r>
        <w:drawing>
          <wp:inline>
            <wp:extent cx="5504749" cy="3669832"/>
            <wp:effectExtent b="0" l="0" r="0" t="0"/>
            <wp:docPr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SAC254.png" id="0" name="Picture"/>
                    <pic:cNvPicPr>
                      <a:picLocks noChangeArrowheads="1" noChangeAspect="1"/>
                    </pic:cNvPicPr>
                  </pic:nvPicPr>
                  <pic:blipFill>
                    <a:blip r:embed="rId9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Variable importance for predicting NOM molecular aromaticity (SAC</w:t>
      </w:r>
      <w:r>
        <w:rPr>
          <w:vertAlign w:val="subscript"/>
        </w:rPr>
        <w:t xml:space="preserve">254</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5"/>
      </w:pPr>
      <w:bookmarkStart w:id="99" w:name="e2e3-molecular-size-aromaticity"/>
      <w:r>
        <w:t xml:space="preserve">E</w:t>
      </w:r>
      <w:r>
        <w:rPr>
          <w:vertAlign w:val="subscript"/>
        </w:rPr>
        <w:t xml:space="preserve">2</w:t>
      </w:r>
      <w:r>
        <w:t xml:space="preserve">:E</w:t>
      </w:r>
      <w:r>
        <w:rPr>
          <w:vertAlign w:val="subscript"/>
        </w:rPr>
        <w:t xml:space="preserve">3</w:t>
      </w:r>
      <w:r>
        <w:t xml:space="preserve">: molecular size &amp; aromaticity</w:t>
      </w:r>
      <w:bookmarkEnd w:id="99"/>
    </w:p>
    <w:p>
      <w:pPr>
        <w:pStyle w:val="FirstParagraph"/>
      </w:pPr>
      <w:r>
        <w:t xml:space="preserve">Sampling conditions VIM ranking for E</w:t>
      </w:r>
      <w:r>
        <w:rPr>
          <w:vertAlign w:val="subscript"/>
        </w:rPr>
        <w:t xml:space="preserve">2</w:t>
      </w:r>
      <w:r>
        <w:t xml:space="preserve">:E</w:t>
      </w:r>
      <w:r>
        <w:rPr>
          <w:vertAlign w:val="subscript"/>
        </w:rPr>
        <w:t xml:space="preserve">3</w:t>
      </w:r>
      <w:r>
        <w:t xml:space="preserve"> </w:t>
      </w:r>
      <w:r>
        <w:t xml:space="preserve">were the reverse of those for DOC. NOM molecular size and aromaticity (E</w:t>
      </w:r>
      <w:r>
        <w:rPr>
          <w:vertAlign w:val="subscript"/>
        </w:rPr>
        <w:t xml:space="preserve">2</w:t>
      </w:r>
      <w:r>
        <w:t xml:space="preserve">:E</w:t>
      </w:r>
      <w:r>
        <w:rPr>
          <w:vertAlign w:val="subscript"/>
        </w:rPr>
        <w:t xml:space="preserve">3</w:t>
      </w:r>
      <w:r>
        <w:t xml:space="preserve">) was best predicted by antecedent 30-day rain, followed by 7-day air temperatures and then sampling stage. The top three watershed characteristic predictors for E</w:t>
      </w:r>
      <w:r>
        <w:rPr>
          <w:vertAlign w:val="subscript"/>
        </w:rPr>
        <w:t xml:space="preserve">2</w:t>
      </w:r>
      <w:r>
        <w:t xml:space="preserve">:E</w:t>
      </w:r>
      <w:r>
        <w:rPr>
          <w:vertAlign w:val="subscript"/>
        </w:rPr>
        <w:t xml:space="preserve">3</w:t>
      </w:r>
      <w:r>
        <w:t xml:space="preserve"> </w:t>
      </w:r>
      <w:r>
        <w:t xml:space="preserve">were percent of the basin logged from 1980-2011, followed by percent underlain by metamorphic parent material (wark gneiss) which was nearly tied with average tree age (Figure</w:t>
      </w:r>
      <w:r>
        <w:t xml:space="preserve"> </w:t>
      </w:r>
      <w:r>
        <w:t xml:space="preserve">16</w:t>
      </w:r>
      <w:r>
        <w:t xml:space="preserve">).</w:t>
      </w:r>
    </w:p>
    <w:p>
      <w:pPr>
        <w:pStyle w:val="BodyText"/>
      </w:pPr>
      <w:r>
        <w:t xml:space="preserve"> </w:t>
      </w:r>
    </w:p>
    <w:p>
      <w:pPr>
        <w:pStyle w:val="CaptionedFigure"/>
      </w:pPr>
      <w:r>
        <w:drawing>
          <wp:inline>
            <wp:extent cx="5504749" cy="3669832"/>
            <wp:effectExtent b="0" l="0" r="0" t="0"/>
            <wp:docPr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_sep-E2E3.png" id="0" name="Picture"/>
                    <pic:cNvPicPr>
                      <a:picLocks noChangeArrowheads="1" noChangeAspect="1"/>
                    </pic:cNvPicPr>
                  </pic:nvPicPr>
                  <pic:blipFill>
                    <a:blip r:embed="rId10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Variable importance for predicting NOM aromaticity &amp; molecular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101" w:name="X05806a16612bf99e348f6b4d67c096a5e8ca3ee"/>
      <w:r>
        <w:t xml:space="preserve">Predictors in relation to NOM concentration and character</w:t>
      </w:r>
      <w:bookmarkEnd w:id="101"/>
    </w:p>
    <w:p>
      <w:pPr>
        <w:pStyle w:val="FirstParagraph"/>
      </w:pPr>
      <w:r>
        <w:t xml:space="preserve">When all variables were assessed together, sampling conditions were relatively more important than watershed characteristics for predicting NOM concentration and character across the Leech WSA monitoring sites (Appendix, Figure</w:t>
      </w:r>
      <w:r>
        <w:t xml:space="preserve"> </w:t>
      </w:r>
      <w:r>
        <w:t xml:space="preserve">40</w:t>
      </w:r>
      <w:r>
        <w:t xml:space="preserve">).</w:t>
      </w:r>
    </w:p>
    <w:p>
      <w:pPr>
        <w:pStyle w:val="BodyText"/>
      </w:pPr>
      <w:r>
        <w:t xml:space="preserve"> </w:t>
      </w:r>
    </w:p>
    <w:p>
      <w:pPr>
        <w:pStyle w:val="Heading5"/>
      </w:pPr>
      <w:bookmarkStart w:id="102" w:name="sampling-conditions"/>
      <w:r>
        <w:t xml:space="preserve">Sampling conditions</w:t>
      </w:r>
      <w:bookmarkEnd w:id="102"/>
    </w:p>
    <w:p>
      <w:pPr>
        <w:pStyle w:val="FirstParagraph"/>
      </w:pPr>
      <w:r>
        <w:t xml:space="preserve">The ranking of relative importance for sampling conditions were in reverse order for DOC (stage, temp, rain) and E</w:t>
      </w:r>
      <w:r>
        <w:rPr>
          <w:vertAlign w:val="subscript"/>
        </w:rPr>
        <w:t xml:space="preserve">2</w:t>
      </w:r>
      <w:r>
        <w:t xml:space="preserve">:E</w:t>
      </w:r>
      <w:r>
        <w:rPr>
          <w:vertAlign w:val="subscript"/>
        </w:rPr>
        <w:t xml:space="preserve">3</w:t>
      </w:r>
      <w:r>
        <w:t xml:space="preserve"> </w:t>
      </w:r>
      <w:r>
        <w:t xml:space="preserve">(rain, temp, stage). Like DOC, SAC</w:t>
      </w:r>
      <w:r>
        <w:rPr>
          <w:vertAlign w:val="subscript"/>
        </w:rPr>
        <w:t xml:space="preserve">254</w:t>
      </w:r>
      <w:r>
        <w:t xml:space="preserve"> </w:t>
      </w:r>
      <w:r>
        <w:t xml:space="preserve">was influence most by sampling stage; and like E</w:t>
      </w:r>
      <w:r>
        <w:rPr>
          <w:vertAlign w:val="subscript"/>
        </w:rPr>
        <w:t xml:space="preserve">2</w:t>
      </w:r>
      <w:r>
        <w:t xml:space="preserve">:E</w:t>
      </w:r>
      <w:r>
        <w:rPr>
          <w:vertAlign w:val="subscript"/>
        </w:rPr>
        <w:t xml:space="preserve">3</w:t>
      </w:r>
      <w:r>
        <w:t xml:space="preserve">, SAC</w:t>
      </w:r>
      <w:r>
        <w:rPr>
          <w:vertAlign w:val="subscript"/>
        </w:rPr>
        <w:t xml:space="preserve">254</w:t>
      </w:r>
      <w:r>
        <w:t xml:space="preserve"> </w:t>
      </w:r>
      <w:r>
        <w:t xml:space="preserve">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pPr>
        <w:pStyle w:val="BodyText"/>
      </w:pPr>
      <w:r>
        <w:t xml:space="preserve"> </w:t>
      </w:r>
    </w:p>
    <w:p>
      <w:pPr>
        <w:pStyle w:val="Heading6"/>
      </w:pPr>
      <w:bookmarkStart w:id="103" w:name="sampling-stage"/>
      <w:r>
        <w:t xml:space="preserve">Sampling stage</w:t>
      </w:r>
      <w:bookmarkEnd w:id="103"/>
    </w:p>
    <w:p>
      <w:pPr>
        <w:pStyle w:val="FirstParagraph"/>
      </w:pPr>
      <w:r>
        <w:t xml:space="preserve">Stream stage at the time of sample collection was the most important condition predictor variable for DOC and SAC</w:t>
      </w:r>
      <w:r>
        <w:rPr>
          <w:vertAlign w:val="subscript"/>
        </w:rPr>
        <w:t xml:space="preserve">254</w:t>
      </w:r>
      <w:r>
        <w:t xml:space="preserve">. Concentration of DOC increased with increasing stage up to approximately 60% of maximum sampling stage at each site. The same relationship was seen (albeit more dramatically) for SAC</w:t>
      </w:r>
      <w:r>
        <w:rPr>
          <w:vertAlign w:val="subscript"/>
        </w:rPr>
        <w:t xml:space="preserve">254</w:t>
      </w:r>
      <w:r>
        <w:t xml:space="preserve"> </w:t>
      </w:r>
      <w:r>
        <w:t xml:space="preserve">(Figure</w:t>
      </w:r>
      <w:r>
        <w:t xml:space="preserve"> </w:t>
      </w:r>
      <w:r>
        <w:t xml:space="preserve">17</w:t>
      </w:r>
      <w:r>
        <w:t xml:space="preserve">).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pPr>
        <w:pStyle w:val="BodyText"/>
      </w:pPr>
      <w:r>
        <w:t xml:space="preserve"> </w:t>
      </w:r>
    </w:p>
    <w:p>
      <w:pPr>
        <w:pStyle w:val="BodyText"/>
      </w:pPr>
      <w:r>
        <w:t xml:space="preserve">Stream stage was the least important sampling condition for predicting E</w:t>
      </w:r>
      <w:r>
        <w:rPr>
          <w:vertAlign w:val="subscript"/>
        </w:rPr>
        <w:t xml:space="preserve">2</w:t>
      </w:r>
      <w:r>
        <w:t xml:space="preserve">:E</w:t>
      </w:r>
      <w:r>
        <w:rPr>
          <w:vertAlign w:val="subscript"/>
        </w:rPr>
        <w:t xml:space="preserve">3</w:t>
      </w:r>
      <w:r>
        <w:t xml:space="preserve"> </w:t>
      </w:r>
      <w:r>
        <w:t xml:space="preserve">(below antecedent rain and air temperature), and the two variables were inversely related. This pattern supports results of stage in relation to SAC</w:t>
      </w:r>
      <w:r>
        <w:rPr>
          <w:vertAlign w:val="subscript"/>
        </w:rPr>
        <w:t xml:space="preserve">254</w:t>
      </w:r>
      <w:r>
        <w:t xml:space="preserve"> </w:t>
      </w:r>
      <w:r>
        <w:t xml:space="preserve">and shows that as stream stage increased across the Leech WSA, so too did NOM molecular size &amp; aromaticity. Like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60-75% of maximum stage (indicated by the greater uncertainty in the loess trend line, Figure</w:t>
      </w:r>
      <w:r>
        <w:t xml:space="preserve"> </w:t>
      </w:r>
      <w:r>
        <w:t xml:space="preserve">17</w:t>
      </w:r>
      <w:r>
        <w:t xml:space="preserve">)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humic in nature.</w:t>
      </w:r>
    </w:p>
    <w:p>
      <w:pPr>
        <w:pStyle w:val="BodyText"/>
      </w:pPr>
      <w:r>
        <w:t xml:space="preserve"> </w:t>
      </w:r>
    </w:p>
    <w:p>
      <w:pPr>
        <w:pStyle w:val="CaptionedFigure"/>
      </w:pPr>
      <w:r>
        <w:drawing>
          <wp:inline>
            <wp:extent cx="3669832" cy="4587290"/>
            <wp:effectExtent b="0" l="0" r="0" t="0"/>
            <wp:docPr descr="Figure 17:  Sampling stage as a predictor for NOM concentration (DOC) and character (SAC254 &amp; E2:E3). Each plot includes a loess trend line." title="" id="1" name="Picture"/>
            <a:graphic>
              <a:graphicData uri="http://schemas.openxmlformats.org/drawingml/2006/picture">
                <pic:pic>
                  <pic:nvPicPr>
                    <pic:cNvPr descr="R-outputs_UBC-forWater-MSc_HMc/figures/Ch4_RF_stage.png" id="0" name="Picture"/>
                    <pic:cNvPicPr>
                      <a:picLocks noChangeArrowheads="1" noChangeAspect="1"/>
                    </pic:cNvPicPr>
                  </pic:nvPicPr>
                  <pic:blipFill>
                    <a:blip r:embed="rId104"/>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Sampling stage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Each plot includes a loess trend line.</w:t>
      </w:r>
    </w:p>
    <w:p>
      <w:pPr>
        <w:pStyle w:val="BodyText"/>
      </w:pPr>
      <w:r>
        <w:t xml:space="preserve"> </w:t>
      </w:r>
    </w:p>
    <w:p>
      <w:pPr>
        <w:pStyle w:val="Heading6"/>
      </w:pPr>
      <w:bookmarkStart w:id="105" w:name="antecedent-7-day-air-temperature"/>
      <w:r>
        <w:t xml:space="preserve">Antecedent 7-day air temperature</w:t>
      </w:r>
      <w:bookmarkEnd w:id="105"/>
    </w:p>
    <w:p>
      <w:pPr>
        <w:pStyle w:val="FirstParagraph"/>
      </w:pPr>
      <w:r>
        <w:t xml:space="preserve">Antecedent 7-day air temperature (mean air temperature for the 7-day period prior to sample collection) ranked second most important for predicting DOC and E</w:t>
      </w:r>
      <w:r>
        <w:rPr>
          <w:vertAlign w:val="subscript"/>
        </w:rPr>
        <w:t xml:space="preserve">2</w:t>
      </w:r>
      <w:r>
        <w:t xml:space="preserve">:E</w:t>
      </w:r>
      <w:r>
        <w:rPr>
          <w:vertAlign w:val="subscript"/>
        </w:rPr>
        <w:t xml:space="preserve">3</w:t>
      </w:r>
      <w:r>
        <w:t xml:space="preserve"> </w:t>
      </w:r>
      <w:r>
        <w:t xml:space="preserve">and was the least important (third) sampling condition for predicting SAC</w:t>
      </w:r>
      <w:r>
        <w:rPr>
          <w:vertAlign w:val="subscript"/>
        </w:rPr>
        <w:t xml:space="preserve">254</w:t>
      </w:r>
      <w:r>
        <w:t xml:space="preserve">. The concentration, reactivity, aromaticity and molecular weight of NOM increased with antecedent air temperature up to approximately 10°C (Figure</w:t>
      </w:r>
      <w:r>
        <w:t xml:space="preserve"> </w:t>
      </w:r>
      <w:r>
        <w:t xml:space="preserve">18</w:t>
      </w:r>
      <w:r>
        <w:t xml:space="preserve">). DOC and 7-day temperature were positively related in the wet season with no obvious relationship in the dry season (Appendix</w:t>
      </w:r>
      <w:r>
        <w:t xml:space="preserve"> </w:t>
      </w:r>
      <w:r>
        <w:rPr>
          <w:i/>
        </w:rPr>
        <w:t xml:space="preserve">XXX</w:t>
      </w:r>
      <w:r>
        <w:t xml:space="preserve">, Figure</w:t>
      </w:r>
      <w:r>
        <w:t xml:space="preserve"> </w:t>
      </w:r>
      <w:r>
        <w:t xml:space="preserve">41</w:t>
      </w:r>
      <w:r>
        <w:t xml:space="preserve">) and too few spectral samples were collected in the dry season to shed light on seasonal trends in NOM character with antecedent temperatures.</w:t>
      </w:r>
    </w:p>
    <w:p>
      <w:pPr>
        <w:pStyle w:val="BodyText"/>
      </w:pPr>
      <w:r>
        <w:t xml:space="preserve"> </w:t>
      </w:r>
    </w:p>
    <w:p>
      <w:pPr>
        <w:pStyle w:val="CaptionedFigure"/>
      </w:pPr>
      <w:r>
        <w:drawing>
          <wp:inline>
            <wp:extent cx="3669832" cy="4587290"/>
            <wp:effectExtent b="0" l="0" r="0" t="0"/>
            <wp:docPr descr="Figure 18:  Antecedent 7-day air temperature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temp.png" id="0" name="Picture"/>
                    <pic:cNvPicPr>
                      <a:picLocks noChangeArrowheads="1" noChangeAspect="1"/>
                    </pic:cNvPicPr>
                  </pic:nvPicPr>
                  <pic:blipFill>
                    <a:blip r:embed="rId106"/>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Antecedent 7-day air temperature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6"/>
      </w:pPr>
      <w:bookmarkStart w:id="107" w:name="antecedent-30-day-rain"/>
      <w:r>
        <w:t xml:space="preserve">Antecedent 30-day rain</w:t>
      </w:r>
      <w:bookmarkEnd w:id="107"/>
    </w:p>
    <w:p>
      <w:pPr>
        <w:pStyle w:val="FirstParagraph"/>
      </w:pPr>
      <w:r>
        <w:t xml:space="preserve">Antecedent 30-day cumulative rain (i.e. antecedent wetness) was the sampling condition calculated to have the greatest relative importance in predicting E</w:t>
      </w:r>
      <w:r>
        <w:rPr>
          <w:vertAlign w:val="subscript"/>
        </w:rPr>
        <w:t xml:space="preserve">2</w:t>
      </w:r>
      <w:r>
        <w:t xml:space="preserve">:E</w:t>
      </w:r>
      <w:r>
        <w:rPr>
          <w:vertAlign w:val="subscript"/>
        </w:rPr>
        <w:t xml:space="preserve">3</w:t>
      </w:r>
      <w:r>
        <w:t xml:space="preserve">, second-most importance for SAC</w:t>
      </w:r>
      <w:r>
        <w:rPr>
          <w:vertAlign w:val="subscript"/>
        </w:rPr>
        <w:t xml:space="preserve">254</w:t>
      </w:r>
      <w:r>
        <w:t xml:space="preserve"> </w:t>
      </w:r>
      <w:r>
        <w:t xml:space="preserve">and was the least important sampling condition for predicting DOC concentration. As antecedent 30-day rain increased to approximately 150 mm, there was an apparent decrease in NOM aromaticity and molecular size (E</w:t>
      </w:r>
      <w:r>
        <w:rPr>
          <w:vertAlign w:val="subscript"/>
        </w:rPr>
        <w:t xml:space="preserve">2</w:t>
      </w:r>
      <w:r>
        <w:t xml:space="preserve">:E</w:t>
      </w:r>
      <w:r>
        <w:rPr>
          <w:vertAlign w:val="subscript"/>
        </w:rPr>
        <w:t xml:space="preserve">3</w:t>
      </w:r>
      <w:r>
        <w:t xml:space="preserve"> </w:t>
      </w:r>
      <w:r>
        <w:t xml:space="preserve">increased); above ~150 mm (~25% of maximum antecedent 30-day rain), NOM aromaticity and molecular size increased. At approximately 300 mm of 30-day antecedent rain, NOM aromaticity and molecular size appeared to become less variable (Figure</w:t>
      </w:r>
      <w:r>
        <w:t xml:space="preserve"> </w:t>
      </w:r>
      <w:r>
        <w:t xml:space="preserve">19</w:t>
      </w:r>
      <w:r>
        <w:t xml:space="preserve">).</w:t>
      </w:r>
    </w:p>
    <w:p>
      <w:pPr>
        <w:pStyle w:val="BodyText"/>
      </w:pPr>
      <w:r>
        <w:t xml:space="preserve"> </w:t>
      </w:r>
    </w:p>
    <w:p>
      <w:pPr>
        <w:pStyle w:val="BodyText"/>
      </w:pPr>
      <w:r>
        <w:t xml:space="preserve">Fewer sample results existed for SAC</w:t>
      </w:r>
      <w:r>
        <w:rPr>
          <w:vertAlign w:val="subscript"/>
        </w:rPr>
        <w:t xml:space="preserve">254</w:t>
      </w:r>
      <w:r>
        <w:t xml:space="preserve">, with a data gap for samples collected between 200 mm and 400 mm of 30-day antecedent rain; therefore, the pattern of SAC</w:t>
      </w:r>
      <w:r>
        <w:rPr>
          <w:vertAlign w:val="subscript"/>
        </w:rPr>
        <w:t xml:space="preserve">254</w:t>
      </w:r>
      <w:r>
        <w:t xml:space="preserve"> </w:t>
      </w:r>
      <w:r>
        <w:t xml:space="preserve">with antecedent wetness was less precise (large uncertainty, Figure</w:t>
      </w:r>
      <w:r>
        <w:t xml:space="preserve"> </w:t>
      </w:r>
      <w:r>
        <w:t xml:space="preserve">19</w:t>
      </w:r>
      <w:r>
        <w:t xml:space="preserve">). For the available data, rain accumulation in the 30 days prior to sample collection was positively related to SAC</w:t>
      </w:r>
      <w:r>
        <w:rPr>
          <w:vertAlign w:val="subscript"/>
        </w:rPr>
        <w:t xml:space="preserve">254</w:t>
      </w:r>
      <w:r>
        <w:t xml:space="preserve"> </w:t>
      </w:r>
      <w:r>
        <w:t xml:space="preserve">up to approximately 150 mm and SAC</w:t>
      </w:r>
      <w:r>
        <w:rPr>
          <w:vertAlign w:val="subscript"/>
        </w:rPr>
        <w:t xml:space="preserve">254</w:t>
      </w:r>
      <w:r>
        <w:t xml:space="preserve"> </w:t>
      </w:r>
      <w:r>
        <w:t xml:space="preserve">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crk, Leech-head) showed a steeper decline in DOC with increasing 30-day antecedent rain (site-specific plot in Appendix</w:t>
      </w:r>
      <w:r>
        <w:t xml:space="preserve"> </w:t>
      </w:r>
      <w:r>
        <w:rPr>
          <w:i/>
        </w:rPr>
        <w:t xml:space="preserve">XXXXX</w:t>
      </w:r>
      <w:r>
        <w:t xml:space="preserve">, Figure</w:t>
      </w:r>
      <w:r>
        <w:t xml:space="preserve"> </w:t>
      </w:r>
      <w:r>
        <w:t xml:space="preserve">42</w:t>
      </w:r>
      <w:r>
        <w:t xml:space="preserve">).</w:t>
      </w:r>
    </w:p>
    <w:p>
      <w:pPr>
        <w:pStyle w:val="BodyText"/>
      </w:pPr>
      <w:r>
        <w:t xml:space="preserve"> </w:t>
      </w:r>
    </w:p>
    <w:p>
      <w:pPr>
        <w:pStyle w:val="CaptionedFigure"/>
      </w:pPr>
      <w:r>
        <w:drawing>
          <wp:inline>
            <wp:extent cx="3669832" cy="4587290"/>
            <wp:effectExtent b="0" l="0" r="0" t="0"/>
            <wp:docPr descr="Figure 19: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png" id="0" name="Picture"/>
                    <pic:cNvPicPr>
                      <a:picLocks noChangeArrowheads="1" noChangeAspect="1"/>
                    </pic:cNvPicPr>
                  </pic:nvPicPr>
                  <pic:blipFill>
                    <a:blip r:embed="rId108"/>
                    <a:stretch>
                      <a:fillRect/>
                    </a:stretch>
                  </pic:blipFill>
                  <pic:spPr bwMode="auto">
                    <a:xfrm>
                      <a:off x="0" y="0"/>
                      <a:ext cx="3669832" cy="4587290"/>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BodyText"/>
      </w:pPr>
      <w:r>
        <w:t xml:space="preserve">These patterns of antecedent wetness with DOC and E</w:t>
      </w:r>
      <w:r>
        <w:rPr>
          <w:vertAlign w:val="subscript"/>
        </w:rPr>
        <w:t xml:space="preserve">2</w:t>
      </w:r>
      <w:r>
        <w:t xml:space="preserve">:E</w:t>
      </w:r>
      <w:r>
        <w:rPr>
          <w:vertAlign w:val="subscript"/>
        </w:rPr>
        <w:t xml:space="preserve">3</w:t>
      </w:r>
      <w:r>
        <w:t xml:space="preserve"> </w:t>
      </w:r>
      <w:r>
        <w:t xml:space="preserve">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support seasonal characteristic shifts described in Chapter 3, which follow prediction of the River Continuum Concept.</w:t>
      </w:r>
    </w:p>
    <w:p>
      <w:pPr>
        <w:pStyle w:val="BodyText"/>
      </w:pPr>
      <w:r>
        <w:t xml:space="preserve"> </w:t>
      </w:r>
    </w:p>
    <w:p>
      <w:pPr>
        <w:pStyle w:val="Heading5"/>
      </w:pPr>
      <w:bookmarkStart w:id="109" w:name="watershed-characteristics"/>
      <w:r>
        <w:t xml:space="preserve">Watershed characteristics</w:t>
      </w:r>
      <w:bookmarkEnd w:id="109"/>
    </w:p>
    <w:p>
      <w:pPr>
        <w:pStyle w:val="FirstParagraph"/>
      </w:pPr>
      <w:r>
        <w:t xml:space="preserve">Of watershed characteristics, the top predictors for NOM concentration and character were a combination of mean sub-basin slope, metamorphic parent material (percent of basin), logging history (percent of basin harvested 1980-2011), tree age (average) and/or drainage area.</w:t>
      </w:r>
    </w:p>
    <w:p>
      <w:pPr>
        <w:pStyle w:val="BodyText"/>
      </w:pPr>
      <w:r>
        <w:t xml:space="preserve"> </w:t>
      </w:r>
    </w:p>
    <w:p>
      <w:pPr>
        <w:pStyle w:val="Heading6"/>
      </w:pPr>
      <w:bookmarkStart w:id="110" w:name="sub-basin-slope"/>
      <w:r>
        <w:t xml:space="preserve">Sub-basin slope</w:t>
      </w:r>
      <w:bookmarkEnd w:id="110"/>
    </w:p>
    <w:p>
      <w:pPr>
        <w:pStyle w:val="FirstParagraph"/>
      </w:pPr>
      <w:r>
        <w:t xml:space="preserve">Sub-basin slope ranked most important as a predictor for DOC and SAC</w:t>
      </w:r>
      <w:r>
        <w:rPr>
          <w:vertAlign w:val="subscript"/>
        </w:rPr>
        <w:t xml:space="preserve">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w:t>
      </w:r>
      <w:r>
        <w:t xml:space="preserve"> </w:t>
      </w:r>
      <w:r>
        <w:t xml:space="preserve">20</w:t>
      </w:r>
      <w:r>
        <w:t xml:space="preserve">). Slope was negatively correlated to percent wetland (-0.73), and wetlands are known to be linked with high DOC concentrations and greater NOM aromaticity. Indeed, SAC</w:t>
      </w:r>
      <w:r>
        <w:rPr>
          <w:vertAlign w:val="subscript"/>
        </w:rPr>
        <w:t xml:space="preserve">254</w:t>
      </w:r>
      <w:r>
        <w:t xml:space="preserve"> </w:t>
      </w:r>
      <w:r>
        <w:t xml:space="preserve">indicated higher aromaticity in sub-basins with lower mean slope (Figure</w:t>
      </w:r>
      <w:r>
        <w:t xml:space="preserve"> </w:t>
      </w:r>
      <w:r>
        <w:t xml:space="preserve">20</w:t>
      </w:r>
      <w:r>
        <w:t xml:space="preserve">). While slope was not ranked as a strong predictor for E</w:t>
      </w:r>
      <w:r>
        <w:rPr>
          <w:vertAlign w:val="subscript"/>
        </w:rPr>
        <w:t xml:space="preserve">2</w:t>
      </w:r>
      <w:r>
        <w:t xml:space="preserve">:E</w:t>
      </w:r>
      <w:r>
        <w:rPr>
          <w:vertAlign w:val="subscript"/>
        </w:rPr>
        <w:t xml:space="preserve">3</w:t>
      </w:r>
      <w:r>
        <w:t xml:space="preserve">, the relationship between the two largely agreed with results for SAC</w:t>
      </w:r>
      <w:r>
        <w:rPr>
          <w:vertAlign w:val="subscript"/>
        </w:rPr>
        <w:t xml:space="preserve">254</w:t>
      </w:r>
      <w:r>
        <w:t xml:space="preserve">.</w:t>
      </w:r>
    </w:p>
    <w:p>
      <w:pPr>
        <w:pStyle w:val="BodyText"/>
      </w:pPr>
      <w:r>
        <w:t xml:space="preserve"> </w:t>
      </w:r>
    </w:p>
    <w:p>
      <w:pPr>
        <w:pStyle w:val="CaptionedFigure"/>
      </w:pPr>
      <w:r>
        <w:drawing>
          <wp:inline>
            <wp:extent cx="3669832" cy="5504749"/>
            <wp:effectExtent b="0" l="0" r="0" t="0"/>
            <wp:docPr descr="Figure 20:  Sub-basin mean slop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slope.png" id="0" name="Picture"/>
                    <pic:cNvPicPr>
                      <a:picLocks noChangeArrowheads="1" noChangeAspect="1"/>
                    </pic:cNvPicPr>
                  </pic:nvPicPr>
                  <pic:blipFill>
                    <a:blip r:embed="rId111"/>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Sub-basin mean slope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2" w:name="parent-material-metamorphic-wark-gneiss"/>
      <w:r>
        <w:t xml:space="preserve">Parent material (metamorphic wark gneiss)</w:t>
      </w:r>
      <w:bookmarkEnd w:id="112"/>
    </w:p>
    <w:p>
      <w:pPr>
        <w:pStyle w:val="FirstParagraph"/>
      </w:pPr>
      <w:r>
        <w:t xml:space="preserve">The percent of wark gneiss underlying each sub-basin was ranked as the second most important watershed characteristic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Wark gneiss was inversely correlated (-0.92) to the metasedimentary Leech River Formation.</w:t>
      </w:r>
    </w:p>
    <w:p>
      <w:pPr>
        <w:pStyle w:val="BodyText"/>
      </w:pPr>
      <w:r>
        <w:t xml:space="preserve"> </w:t>
      </w:r>
    </w:p>
    <w:p>
      <w:pPr>
        <w:pStyle w:val="BodyText"/>
      </w:pPr>
      <w:r>
        <w:t xml:space="preserve">For the five sites that were underlain by some proportion of wark gneiss, stream DOC concentrations decreased with increasing percentage of this metamorphic surficial deposit. While more metamorphic material corresponded to lower DOC, the absence of wark gneiss in West Leech sub-basin did not correspond to the highest DOC concentration (Figure</w:t>
      </w:r>
      <w:r>
        <w:t xml:space="preserve"> </w:t>
      </w:r>
      <w:r>
        <w:t xml:space="preserve">21</w:t>
      </w:r>
      <w:r>
        <w:t xml:space="preserve">). NOM character had a similar pattern to concentration, where greater metamorphic parent material corresponded to lower NOM aromaticity and reactivity (SAC</w:t>
      </w:r>
      <w:r>
        <w:rPr>
          <w:vertAlign w:val="subscript"/>
        </w:rPr>
        <w:t xml:space="preserve">254</w:t>
      </w:r>
      <w:r>
        <w:t xml:space="preserve">), but its absence did not correspond to the sub-basin with the lowest SAC</w:t>
      </w:r>
      <w:r>
        <w:rPr>
          <w:vertAlign w:val="subscript"/>
        </w:rPr>
        <w:t xml:space="preserve">254</w:t>
      </w:r>
      <w:r>
        <w:t xml:space="preserve"> </w:t>
      </w:r>
      <w:r>
        <w:t xml:space="preserve">(Figure</w:t>
      </w:r>
      <w:r>
        <w:t xml:space="preserve"> </w:t>
      </w:r>
      <w:r>
        <w:t xml:space="preserve">21</w:t>
      </w:r>
      <w:r>
        <w:t xml:space="preserve">). E</w:t>
      </w:r>
      <w:r>
        <w:rPr>
          <w:vertAlign w:val="subscript"/>
        </w:rPr>
        <w:t xml:space="preserve">2</w:t>
      </w:r>
      <w:r>
        <w:t xml:space="preserve">:E</w:t>
      </w:r>
      <w:r>
        <w:rPr>
          <w:vertAlign w:val="subscript"/>
        </w:rPr>
        <w:t xml:space="preserve">3</w:t>
      </w:r>
      <w:r>
        <w:t xml:space="preserve"> </w:t>
      </w:r>
      <w:r>
        <w:t xml:space="preserve">showed that greater metamorphic parent material corresponded to lower NOM aromaticity and molecular weight (higher E</w:t>
      </w:r>
      <w:r>
        <w:rPr>
          <w:vertAlign w:val="subscript"/>
        </w:rPr>
        <w:t xml:space="preserve">2</w:t>
      </w:r>
      <w:r>
        <w:t xml:space="preserve">:E</w:t>
      </w:r>
      <w:r>
        <w:rPr>
          <w:vertAlign w:val="subscript"/>
        </w:rPr>
        <w:t xml:space="preserve">3</w:t>
      </w:r>
      <w:r>
        <w:t xml:space="preserve"> </w:t>
      </w:r>
      <w:r>
        <w:t xml:space="preserve">values) and, in contrast to DOC and SAC</w:t>
      </w:r>
      <w:r>
        <w:rPr>
          <w:vertAlign w:val="subscript"/>
        </w:rPr>
        <w:t xml:space="preserve">254</w:t>
      </w:r>
      <w:r>
        <w:t xml:space="preserve">, the sub-basin with the greatest molecular weight NOM (lowest mean E</w:t>
      </w:r>
      <w:r>
        <w:rPr>
          <w:vertAlign w:val="subscript"/>
        </w:rPr>
        <w:t xml:space="preserve">2</w:t>
      </w:r>
      <w:r>
        <w:t xml:space="preserve">:E</w:t>
      </w:r>
      <w:r>
        <w:rPr>
          <w:vertAlign w:val="subscript"/>
        </w:rPr>
        <w:t xml:space="preserve">3</w:t>
      </w:r>
      <w:r>
        <w:t xml:space="preserve">) did correspond with the absence of wark gneiss (Figure</w:t>
      </w:r>
      <w:r>
        <w:t xml:space="preserve"> </w:t>
      </w:r>
      <w:r>
        <w:t xml:space="preserve">21</w:t>
      </w:r>
      <w:r>
        <w:t xml:space="preserve">).</w:t>
      </w:r>
    </w:p>
    <w:p>
      <w:pPr>
        <w:pStyle w:val="BodyText"/>
      </w:pPr>
      <w:r>
        <w:t xml:space="preserve"> </w:t>
      </w:r>
    </w:p>
    <w:p>
      <w:pPr>
        <w:pStyle w:val="CaptionedFigure"/>
      </w:pPr>
      <w:r>
        <w:drawing>
          <wp:inline>
            <wp:extent cx="3669832" cy="5504749"/>
            <wp:effectExtent b="0" l="0" r="0" t="0"/>
            <wp:docPr descr="Figure 21:  Percent of each sub-basin underlain by wark gneiss (metamorphic parent material)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metamorphic.png" id="0" name="Picture"/>
                    <pic:cNvPicPr>
                      <a:picLocks noChangeArrowheads="1" noChangeAspect="1"/>
                    </pic:cNvPicPr>
                  </pic:nvPicPr>
                  <pic:blipFill>
                    <a:blip r:embed="rId113"/>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Percent of each sub-basin underlain by wark gneiss (metamorphic parent material)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6"/>
      </w:pPr>
      <w:bookmarkStart w:id="114" w:name="logging-history-and-mean-tree-age"/>
      <w:r>
        <w:t xml:space="preserve">Logging history and mean tree age</w:t>
      </w:r>
      <w:bookmarkEnd w:id="114"/>
    </w:p>
    <w:p>
      <w:pPr>
        <w:pStyle w:val="FirstParagraph"/>
      </w:pPr>
      <w:r>
        <w:t xml:space="preserve">Logging history (percent of basin harvested from 1980-2011) was ranked first among watershed characteristics for predicting E</w:t>
      </w:r>
      <w:r>
        <w:rPr>
          <w:vertAlign w:val="subscript"/>
        </w:rPr>
        <w:t xml:space="preserve">2</w:t>
      </w:r>
      <w:r>
        <w:t xml:space="preserve">:E</w:t>
      </w:r>
      <w:r>
        <w:rPr>
          <w:vertAlign w:val="subscript"/>
        </w:rPr>
        <w:t xml:space="preserve">3</w:t>
      </w:r>
      <w:r>
        <w:t xml:space="preserve"> </w:t>
      </w:r>
      <w:r>
        <w:t xml:space="preserve">and third for predicting SAC</w:t>
      </w:r>
      <w:r>
        <w:rPr>
          <w:vertAlign w:val="subscript"/>
        </w:rPr>
        <w:t xml:space="preserve">254</w:t>
      </w:r>
      <w:r>
        <w:t xml:space="preserve">. Average tree age was third in variable importance for predicting E</w:t>
      </w:r>
      <w:r>
        <w:rPr>
          <w:vertAlign w:val="subscript"/>
        </w:rPr>
        <w:t xml:space="preserve">2</w:t>
      </w:r>
      <w:r>
        <w:t xml:space="preserve">:E</w:t>
      </w:r>
      <w:r>
        <w:rPr>
          <w:vertAlign w:val="subscript"/>
        </w:rPr>
        <w:t xml:space="preserve">3</w:t>
      </w:r>
      <w:r>
        <w:t xml:space="preserve"> </w:t>
      </w:r>
      <w:r>
        <w:t xml:space="preserve">and DOC. Tree age and logging history were examined together because average tree age was partially due to the history of forest harvest.</w:t>
      </w:r>
    </w:p>
    <w:p>
      <w:pPr>
        <w:pStyle w:val="BodyText"/>
      </w:pPr>
      <w:r>
        <w:t xml:space="preserve"> </w:t>
      </w:r>
    </w:p>
    <w:p>
      <w:pPr>
        <w:pStyle w:val="BodyText"/>
      </w:pPr>
      <w:r>
        <w:t xml:space="preserve">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Leech Tunnel, and Cragg crk sub-basins showed decreasing NOM molecular weight and aromaticity (increasing E</w:t>
      </w:r>
      <w:r>
        <w:rPr>
          <w:vertAlign w:val="subscript"/>
        </w:rPr>
        <w:t xml:space="preserve">2</w:t>
      </w:r>
      <w:r>
        <w:t xml:space="preserve">:E</w:t>
      </w:r>
      <w:r>
        <w:rPr>
          <w:vertAlign w:val="subscript"/>
        </w:rPr>
        <w:t xml:space="preserve">3</w:t>
      </w:r>
      <w:r>
        <w:t xml:space="preserve">) with increasing area harvested. However, the sub-basins of Chris crk and Leech-head (just downstream) had higher harvested area (ergo younger trees) and did not match this pattern of less aromatic, lower molecular weight NOM with greater harvest history (Figure</w:t>
      </w:r>
      <w:r>
        <w:t xml:space="preserve"> </w:t>
      </w:r>
      <w:r>
        <w:t xml:space="preserve">22</w:t>
      </w:r>
      <w:r>
        <w:t xml:space="preserve">). The sites with more aromatic and higher molecular weight NOM were not clearly linked to average tree age (Figure</w:t>
      </w:r>
      <w:r>
        <w:t xml:space="preserve"> </w:t>
      </w:r>
      <w:r>
        <w:t xml:space="preserve">22</w:t>
      </w:r>
      <w:r>
        <w:t xml:space="preserve">).</w:t>
      </w:r>
    </w:p>
    <w:p>
      <w:pPr>
        <w:pStyle w:val="BodyText"/>
      </w:pPr>
      <w:r>
        <w:t xml:space="preserve"> </w:t>
      </w:r>
    </w:p>
    <w:p>
      <w:pPr>
        <w:pStyle w:val="BodyText"/>
      </w:pPr>
      <w:r>
        <w:t xml:space="preserve">Chris crk and Cragg crk sub-basins had the youngest and oldest trees, respectively; yet, these two sites had very similar averages for NOM concentration and character, though Chris crk had slightly higher molecular weight NOM. While Cragg crk sub-basin had, on average, the oldest trees (likely due to old growth maintained on Horton Ridge), it was West Leech that was the least-harvested sub-basin of the six monitoring sites. Cragg crk and West Leech had similar mean DOC and SAC</w:t>
      </w:r>
      <w:r>
        <w:rPr>
          <w:vertAlign w:val="subscript"/>
        </w:rPr>
        <w:t xml:space="preserve">254</w:t>
      </w:r>
      <w:r>
        <w:t xml:space="preserve"> </w:t>
      </w:r>
      <w:r>
        <w:t xml:space="preserve">values but mean E</w:t>
      </w:r>
      <w:r>
        <w:rPr>
          <w:vertAlign w:val="subscript"/>
        </w:rPr>
        <w:t xml:space="preserve">2</w:t>
      </w:r>
      <w:r>
        <w:t xml:space="preserve">:E</w:t>
      </w:r>
      <w:r>
        <w:rPr>
          <w:vertAlign w:val="subscript"/>
        </w:rPr>
        <w:t xml:space="preserve">3</w:t>
      </w:r>
      <w:r>
        <w:t xml:space="preserve"> </w:t>
      </w:r>
      <w:r>
        <w:t xml:space="preserve">was different (</w:t>
      </w:r>
      <w:r>
        <w:rPr>
          <w:i/>
          <w:b/>
        </w:rPr>
        <w:t xml:space="preserve">statistically??</w:t>
      </w:r>
      <w:r>
        <w:t xml:space="preserve">); Cragg crk had greater molecular weight NOM than West Leech (but their error bars overlapped entirely). It is possible that the GIS data for forest harvest and tree age were missing some details.</w:t>
      </w:r>
    </w:p>
    <w:p>
      <w:pPr>
        <w:pStyle w:val="BodyText"/>
      </w:pPr>
      <w:r>
        <w:t xml:space="preserve"> </w:t>
      </w:r>
    </w:p>
    <w:p>
      <w:pPr>
        <w:pStyle w:val="CaptionedFigure"/>
      </w:pPr>
      <w:r>
        <w:drawing>
          <wp:inline>
            <wp:extent cx="5943600" cy="5486399"/>
            <wp:effectExtent b="0" l="0" r="0" t="0"/>
            <wp:docPr descr="Figure 22:  Sub-basin mean tree age as a predictor for NOM concentration (DOC) and character (SAC254 &amp; E2:E3) across six monitoring sites in the Leech watershed." title="" id="1" name="Picture"/>
            <a:graphic>
              <a:graphicData uri="http://schemas.openxmlformats.org/drawingml/2006/picture">
                <pic:pic>
                  <pic:nvPicPr>
                    <pic:cNvPr descr="R-outputs_UBC-forWater-MSc_HMc/figures/Ch4_RF_logging-tree-age.png" id="0" name="Picture"/>
                    <pic:cNvPicPr>
                      <a:picLocks noChangeArrowheads="1" noChangeAspect="1"/>
                    </pic:cNvPicPr>
                  </pic:nvPicPr>
                  <pic:blipFill>
                    <a:blip r:embed="rId115"/>
                    <a:stretch>
                      <a:fillRect/>
                    </a:stretch>
                  </pic:blipFill>
                  <pic:spPr bwMode="auto">
                    <a:xfrm>
                      <a:off x="0" y="0"/>
                      <a:ext cx="5943600" cy="5486399"/>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Sub-basin mean tree age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w:t>
      </w:r>
    </w:p>
    <w:p>
      <w:pPr>
        <w:pStyle w:val="BodyText"/>
      </w:pPr>
      <w:r>
        <w:t xml:space="preserve"> </w:t>
      </w:r>
    </w:p>
    <w:p>
      <w:pPr>
        <w:pStyle w:val="Heading5"/>
      </w:pPr>
      <w:bookmarkStart w:id="116" w:name="variable-importance-summary"/>
      <w:r>
        <w:t xml:space="preserve">Variable importance Summary</w:t>
      </w:r>
      <w:bookmarkEnd w:id="116"/>
    </w:p>
    <w:p>
      <w:pPr>
        <w:pStyle w:val="FirstParagraph"/>
      </w:pPr>
      <w:r>
        <w:t xml:space="preserve">Of the watershed characteristics examined, the percent of each basin with metamorphic wark gneiss parent material appeared to be the most relevant and was a common predictor variable to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The absence of wark gneiss was not related to the site with highest DOC, despite DOC decreasing with increasing metamorphic representation. Because subsurface materials were largely cross-correlated, the observed patterns with wark gneiss may point to more nuanced relationships that couldn’t be teased out in this RF analysis because of cross-correlations with other predictor variables. It could be that what is observed as a negative relationship with wark gneiss is a positive relationship between NOM and another parent material, probably the schist-like Leech River Formation.</w:t>
      </w:r>
    </w:p>
    <w:p>
      <w:pPr>
        <w:pStyle w:val="BodyText"/>
      </w:pPr>
      <w:r>
        <w:t xml:space="preserve"> </w:t>
      </w:r>
    </w:p>
    <w:p>
      <w:pPr>
        <w:pStyle w:val="BodyText"/>
      </w:pPr>
      <w:r>
        <w:t xml:space="preserve">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pPr>
        <w:pStyle w:val="BodyText"/>
      </w:pPr>
      <w:r>
        <w:t xml:space="preserve"> </w:t>
      </w:r>
    </w:p>
    <w:p>
      <w:pPr>
        <w:pStyle w:val="Heading4"/>
      </w:pPr>
      <w:bookmarkStart w:id="117" w:name="X8a5360c2131915aff3d568048020d54c1b1f742"/>
      <w:r>
        <w:t xml:space="preserve">Warm and wet: seasonal patterns and rain events</w:t>
      </w:r>
      <w:bookmarkEnd w:id="117"/>
    </w:p>
    <w:p>
      <w:pPr>
        <w:pStyle w:val="FirstParagraph"/>
      </w:pPr>
      <w:r>
        <w:t xml:space="preserve">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BodyText"/>
      </w:pPr>
      <w:r>
        <w:t xml:space="preserve">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crk had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23</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These results show that dry season aqueous NOM increased in aromaticity from upstream to downstream sites.</w:t>
      </w:r>
    </w:p>
    <w:p>
      <w:pPr>
        <w:pStyle w:val="BodyText"/>
      </w:pPr>
      <w:r>
        <w:t xml:space="preserve"> </w:t>
      </w:r>
    </w:p>
    <w:p>
      <w:pPr>
        <w:pStyle w:val="BodyText"/>
      </w:pPr>
      <w:r>
        <w:t xml:space="preserve">The dry season pattern of decreasing DOC from low- to high-order streams was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downstream,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differences support a shift in NOM source material, and/or a shift from NOM processing in the dry season and transport/dilution effects in the wet season.</w:t>
      </w:r>
    </w:p>
    <w:p>
      <w:pPr>
        <w:pStyle w:val="BodyText"/>
      </w:pPr>
      <w:r>
        <w:t xml:space="preserve"> </w:t>
      </w:r>
    </w:p>
    <w:p>
      <w:pPr>
        <w:pStyle w:val="CaptionedFigure"/>
      </w:pPr>
      <w:r>
        <w:drawing>
          <wp:inline>
            <wp:extent cx="5504749" cy="5504749"/>
            <wp:effectExtent b="0" l="0" r="0" t="0"/>
            <wp:docPr descr="Figure 23: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18"/>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different y-scale to clarify patterns. The inset in panel B is an enlargement of SAC</w:t>
      </w:r>
      <w:r>
        <w:rPr>
          <w:vertAlign w:val="subscript"/>
        </w:rPr>
        <w:t xml:space="preserve">254</w:t>
      </w:r>
      <w:r>
        <w:t xml:space="preserve"> </w:t>
      </w:r>
      <w:r>
        <w:t xml:space="preserve">for all sites except Weeks crk.</w:t>
      </w:r>
    </w:p>
    <w:p>
      <w:pPr>
        <w:pStyle w:val="BodyText"/>
      </w:pPr>
      <w:r>
        <w:t xml:space="preserve"> </w:t>
      </w:r>
    </w:p>
    <w:p>
      <w:pPr>
        <w:pStyle w:val="Heading5"/>
      </w:pPr>
      <w:bookmarkStart w:id="119" w:name="rising-stage-and-aqueous-nom-dynamics"/>
      <w:r>
        <w:t xml:space="preserve">Rising stage and aqueous NOM dynamics</w:t>
      </w:r>
      <w:bookmarkEnd w:id="119"/>
    </w:p>
    <w:p>
      <w:pPr>
        <w:pStyle w:val="FirstParagraph"/>
      </w:pPr>
      <w:r>
        <w:t xml:space="preserve">Antecedent moisture and/or sampling stage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magnitudes of stage change (Table</w:t>
      </w:r>
      <w:r>
        <w:t xml:space="preserve"> </w:t>
      </w:r>
      <w:r>
        <w:t xml:space="preserve">16</w:t>
      </w:r>
      <w:r>
        <w:t xml:space="preserve">). As expected, rate of change in stage was greatest at the highest order stream, the Tunnel site, and smallest at Weeks crk.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if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0.5882</w:t>
            </w:r>
          </w:p>
        </w:tc>
        <w:tc>
          <w:p>
            <w:pPr>
              <w:pStyle w:val="Compact"/>
              <w:jc w:val="right"/>
            </w:pPr>
            <w:r>
              <w:t xml:space="preserve">0.6471</w:t>
            </w:r>
          </w:p>
        </w:tc>
      </w:tr>
      <w:tr>
        <w:tc>
          <w:p>
            <w:pPr>
              <w:pStyle w:val="Compact"/>
              <w:jc w:val="left"/>
            </w:pPr>
            <w:r>
              <w:t xml:space="preserve">ChrisCrk</w:t>
            </w:r>
          </w:p>
        </w:tc>
        <w:tc>
          <w:p>
            <w:pPr>
              <w:pStyle w:val="Compact"/>
              <w:jc w:val="right"/>
            </w:pPr>
            <w:r>
              <w:t xml:space="preserve">0.8000</w:t>
            </w:r>
          </w:p>
        </w:tc>
        <w:tc>
          <w:p>
            <w:pPr>
              <w:pStyle w:val="Compact"/>
              <w:jc w:val="right"/>
            </w:pPr>
            <w:r>
              <w:t xml:space="preserve">0.8000</w:t>
            </w:r>
          </w:p>
        </w:tc>
      </w:tr>
      <w:tr>
        <w:tc>
          <w:p>
            <w:pPr>
              <w:pStyle w:val="Compact"/>
              <w:jc w:val="left"/>
            </w:pPr>
            <w:r>
              <w:t xml:space="preserve">LeechHead</w:t>
            </w:r>
          </w:p>
        </w:tc>
        <w:tc>
          <w:p>
            <w:pPr>
              <w:pStyle w:val="Compact"/>
              <w:jc w:val="right"/>
            </w:pPr>
            <w:r>
              <w:t xml:space="preserve">0.8889</w:t>
            </w:r>
          </w:p>
        </w:tc>
        <w:tc>
          <w:p>
            <w:pPr>
              <w:pStyle w:val="Compact"/>
              <w:jc w:val="right"/>
            </w:pPr>
            <w:r>
              <w:t xml:space="preserve">0.8889</w:t>
            </w:r>
          </w:p>
        </w:tc>
      </w:tr>
      <w:tr>
        <w:tc>
          <w:p>
            <w:pPr>
              <w:pStyle w:val="Compact"/>
              <w:jc w:val="left"/>
            </w:pPr>
            <w:r>
              <w:t xml:space="preserve">CraggCrk</w:t>
            </w:r>
          </w:p>
        </w:tc>
        <w:tc>
          <w:p>
            <w:pPr>
              <w:pStyle w:val="Compact"/>
              <w:jc w:val="right"/>
            </w:pPr>
            <w:r>
              <w:t xml:space="preserve">0.8000</w:t>
            </w:r>
          </w:p>
        </w:tc>
        <w:tc>
          <w:p>
            <w:pPr>
              <w:pStyle w:val="Compact"/>
              <w:jc w:val="right"/>
            </w:pPr>
            <w:r>
              <w:t xml:space="preserve">0.9000</w:t>
            </w:r>
          </w:p>
        </w:tc>
      </w:tr>
      <w:tr>
        <w:tc>
          <w:p>
            <w:pPr>
              <w:pStyle w:val="Compact"/>
              <w:jc w:val="left"/>
            </w:pPr>
            <w:r>
              <w:t xml:space="preserve">WestLeech</w:t>
            </w:r>
          </w:p>
        </w:tc>
        <w:tc>
          <w:p>
            <w:pPr>
              <w:pStyle w:val="Compact"/>
              <w:jc w:val="right"/>
            </w:pPr>
            <w:r>
              <w:t xml:space="preserve">0.8636</w:t>
            </w:r>
          </w:p>
        </w:tc>
        <w:tc>
          <w:p>
            <w:pPr>
              <w:pStyle w:val="Compact"/>
              <w:jc w:val="right"/>
            </w:pPr>
            <w:r>
              <w:t xml:space="preserve">0.7727</w:t>
            </w:r>
          </w:p>
        </w:tc>
      </w:tr>
      <w:tr>
        <w:tc>
          <w:p>
            <w:pPr>
              <w:pStyle w:val="Compact"/>
              <w:jc w:val="left"/>
            </w:pPr>
            <w:r>
              <w:t xml:space="preserve">Tunnel</w:t>
            </w:r>
          </w:p>
        </w:tc>
        <w:tc>
          <w:p>
            <w:pPr>
              <w:pStyle w:val="Compact"/>
              <w:jc w:val="right"/>
            </w:pPr>
            <w:r>
              <w:t xml:space="preserve">0.7647</w:t>
            </w:r>
          </w:p>
        </w:tc>
        <w:tc>
          <w:p>
            <w:pPr>
              <w:pStyle w:val="Compact"/>
              <w:jc w:val="right"/>
            </w:pPr>
            <w:r>
              <w:t xml:space="preserve">0.9412</w:t>
            </w:r>
          </w:p>
        </w:tc>
      </w:tr>
      <w:tr>
        <w:tc>
          <w:p>
            <w:pPr>
              <w:pStyle w:val="Compact"/>
              <w:jc w:val="left"/>
            </w:pPr>
            <w:r>
              <w:t xml:space="preserve">all sites</w:t>
            </w:r>
          </w:p>
        </w:tc>
        <w:tc>
          <w:p>
            <w:pPr>
              <w:pStyle w:val="Compact"/>
              <w:jc w:val="right"/>
            </w:pPr>
            <w:r>
              <w:t xml:space="preserve">0.7895</w:t>
            </w:r>
          </w:p>
        </w:tc>
        <w:tc>
          <w:p>
            <w:pPr>
              <w:pStyle w:val="Compact"/>
              <w:jc w:val="right"/>
            </w:pPr>
            <w:r>
              <w:t xml:space="preserve">0.8246</w:t>
            </w:r>
          </w:p>
        </w:tc>
      </w:tr>
    </w:tbl>
    <w:p>
      <w:pPr>
        <w:pStyle w:val="BodyText"/>
      </w:pPr>
      <w:r>
        <w:t xml:space="preserve"> </w:t>
      </w:r>
    </w:p>
    <w:p>
      <w:pPr>
        <w:pStyle w:val="BodyText"/>
      </w:pPr>
      <w:r>
        <w:t xml:space="preserve">Four of the six site’s samples showed majority, but not absolute, agreement in extremes of DOC-stage relationships; Chris crk and Leech-head each had the same proportion of common maxima and minima. In general DOC concentrations were lowest at the beginning of events and increased with a rise in stage (Figure</w:t>
      </w:r>
      <w:r>
        <w:t xml:space="preserve"> </w:t>
      </w:r>
      <w:r>
        <w:t xml:space="preserve">24</w:t>
      </w:r>
      <w:r>
        <w:t xml:space="preserve">). Early in the wet season, peak stage was more associated with minimum DOC, and later in the wet season peak stage was more associated with peak DOC. These results suggest dilution of NOM early in the wet season, and enrichment later in the wet season.</w:t>
      </w:r>
    </w:p>
    <w:p>
      <w:pPr>
        <w:pStyle w:val="BodyText"/>
      </w:pPr>
      <w:r>
        <w:t xml:space="preserve"> </w:t>
      </w:r>
    </w:p>
    <w:p>
      <w:pPr>
        <w:pStyle w:val="CaptionedFigure"/>
      </w:pPr>
      <w:r>
        <w:drawing>
          <wp:inline>
            <wp:extent cx="5943600" cy="6339839"/>
            <wp:effectExtent b="0" l="0" r="0" t="0"/>
            <wp:docPr descr="Figure 24: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20"/>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For events where several samples were collected, the change in DOC concentration varied from a little more than 1% to nearly 100% (Table</w:t>
      </w:r>
      <w:r>
        <w:t xml:space="preserve"> </w:t>
      </w:r>
      <w:r>
        <w:t xml:space="preserve">18</w:t>
      </w:r>
      <w:r>
        <w:t xml:space="preserve">). The smallest event-based concentration change occurred at Leech head (1.2%) and the Tunnel (1.4%). The largest event-based change in concentration was observed at West Leech (94.6%), and the second largest change occurred at Chris crk (82% change in DOC).</w:t>
      </w:r>
    </w:p>
    <w:p>
      <w:pPr>
        <w:pStyle w:val="BodyText"/>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t xml:space="preserve"> </w:t>
      </w:r>
    </w:p>
    <w:p>
      <w:pPr>
        <w:pStyle w:val="BodyText"/>
      </w:pPr>
      <w:r>
        <w:t xml:space="preserve">At the Tunnel, Cragg crk and Chris crk, NOM concentration and aromaticity generally increased with stage; while at West Leech, aromaticity was inversely related to stage. Weeks crk maintained the most consistent NOM aromaticity and molecular weight (E</w:t>
      </w:r>
      <w:r>
        <w:rPr>
          <w:vertAlign w:val="subscript"/>
        </w:rPr>
        <w:t xml:space="preserve">2</w:t>
      </w:r>
      <w:r>
        <w:t xml:space="preserve">:E</w:t>
      </w:r>
      <w:r>
        <w:rPr>
          <w:vertAlign w:val="subscript"/>
        </w:rPr>
        <w:t xml:space="preserve">3</w:t>
      </w:r>
      <w:r>
        <w:t xml:space="preserve">) with changing stage (Figure</w:t>
      </w:r>
      <w:r>
        <w:t xml:space="preserve"> </w:t>
      </w:r>
      <w:r>
        <w:t xml:space="preserve">25</w:t>
      </w:r>
      <w:r>
        <w:t xml:space="preserve">).</w:t>
      </w:r>
    </w:p>
    <w:p>
      <w:pPr>
        <w:pStyle w:val="BodyText"/>
      </w:pPr>
      <w:r>
        <w:t xml:space="preserve"> </w:t>
      </w:r>
    </w:p>
    <w:p>
      <w:pPr>
        <w:pStyle w:val="CaptionedFigure"/>
      </w:pPr>
      <w:r>
        <w:drawing>
          <wp:inline>
            <wp:extent cx="5504749" cy="6880936"/>
            <wp:effectExtent b="0" l="0" r="0" t="0"/>
            <wp:docPr descr="Figure 25:  Relationships between river stage and sample NOM concentrations and character, where connected lines show data density. Data for each variable were normalized (min-max normalization) for comparison of relative scales in each relationship between sites."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21"/>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Relationships between river stage and sample NOM concentrations and character, where connected lines show data density. Data for each variable were normalized (min-max normalization) for comparison of relative scales in each relationship between sites.</w:t>
      </w:r>
    </w:p>
    <w:p>
      <w:pPr>
        <w:pStyle w:val="BodyText"/>
      </w:pPr>
      <w:r>
        <w:br/>
      </w:r>
    </w:p>
    <w:p>
      <w:pPr>
        <w:pStyle w:val="Heading4"/>
      </w:pPr>
      <w:bookmarkStart w:id="122" w:name="X13c228b9c6713a570794a6e9e994c61f206d14b"/>
      <w:r>
        <w:t xml:space="preserve">Hysteresis of NOM with antecedent wetness</w:t>
      </w:r>
      <w:bookmarkEnd w:id="122"/>
    </w:p>
    <w:p>
      <w:pPr>
        <w:pStyle w:val="FirstParagraph"/>
      </w:pPr>
      <w:r>
        <w:t xml:space="preserve">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w:t>
      </w:r>
      <w:r>
        <w:t xml:space="preserve"> </w:t>
      </w:r>
      <w:r>
        <w:t xml:space="preserve">DOC (p = 0.512), SAC</w:t>
      </w:r>
      <w:r>
        <w:rPr>
          <w:vertAlign w:val="subscript"/>
        </w:rPr>
        <w:t xml:space="preserve">254</w:t>
      </w:r>
      <w:r>
        <w:t xml:space="preserve"> </w:t>
      </w:r>
      <w:r>
        <w:t xml:space="preserve">(p= 0.218) and E</w:t>
      </w:r>
      <w:r>
        <w:rPr>
          <w:vertAlign w:val="subscript"/>
        </w:rPr>
        <w:t xml:space="preserve">2</w:t>
      </w:r>
      <w:r>
        <w:t xml:space="preserve">:E</w:t>
      </w:r>
      <w:r>
        <w:rPr>
          <w:vertAlign w:val="subscript"/>
        </w:rPr>
        <w:t xml:space="preserve">3</w:t>
      </w:r>
      <w:r>
        <w:t xml:space="preserve"> </w:t>
      </w:r>
      <w:r>
        <w:t xml:space="preserve">(p = 0.148). Samples were collected across the rising limb, near peak-flows, and at least one sample on the falling limb and at low flow (Figure</w:t>
      </w:r>
      <w:r>
        <w:t xml:space="preserve"> </w:t>
      </w:r>
      <w:r>
        <w:t xml:space="preserve">26</w:t>
      </w:r>
      <w:r>
        <w:t xml:space="preserve">).</w:t>
      </w:r>
    </w:p>
    <w:p>
      <w:pPr>
        <w:pStyle w:val="BodyText"/>
      </w:pPr>
      <w:r>
        <w:t xml:space="preserve"> </w:t>
      </w:r>
    </w:p>
    <w:p>
      <w:pPr>
        <w:pStyle w:val="CaptionedFigure"/>
      </w:pPr>
      <w:r>
        <w:drawing>
          <wp:inline>
            <wp:extent cx="5504749" cy="5963478"/>
            <wp:effectExtent b="0" l="0" r="0" t="0"/>
            <wp:docPr descr="Figure 26: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23"/>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w:t>
      </w:r>
    </w:p>
    <w:p>
      <w:pPr>
        <w:pStyle w:val="BodyText"/>
      </w:pPr>
      <w:r>
        <w:t xml:space="preserve"> </w:t>
      </w:r>
    </w:p>
    <w:p>
      <w:pPr>
        <w:pStyle w:val="BodyText"/>
      </w:pPr>
      <w:r>
        <w:t xml:space="preserve">Sample DOC concentrations from rain events 10 and 11 were plotted with their corresponding antecedent wetness (30-day rain) to explore possible hysteresis (Figure</w:t>
      </w:r>
      <w:r>
        <w:t xml:space="preserve"> </w:t>
      </w:r>
      <w:r>
        <w:t xml:space="preserve">27</w:t>
      </w:r>
      <w:r>
        <w:t xml:space="preserve">).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w:t>
      </w:r>
      <w:r>
        <w:t xml:space="preserve"> </w:t>
      </w:r>
      <w:r>
        <w:t xml:space="preserve">15</w:t>
      </w:r>
      <w:r>
        <w:t xml:space="preserve">).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w:t>
      </w:r>
      <w:r>
        <w:t xml:space="preserve"> </w:t>
      </w:r>
      <w:r>
        <w:t xml:space="preserve">27</w:t>
      </w:r>
      <w:r>
        <w:t xml:space="preserve">). At the Tunnel, there was a change in loop direction at the end of each event.</w:t>
      </w:r>
    </w:p>
    <w:p>
      <w:pPr>
        <w:pStyle w:val="BodyText"/>
      </w:pPr>
      <w:r>
        <w:t xml:space="preserve"> </w:t>
      </w:r>
    </w:p>
    <w:p>
      <w:pPr>
        <w:pStyle w:val="CaptionedFigure"/>
      </w:pPr>
      <w:r>
        <w:drawing>
          <wp:inline>
            <wp:extent cx="5504749" cy="5504749"/>
            <wp:effectExtent b="0" l="0" r="0" t="0"/>
            <wp:docPr descr="Figure 27: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2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25" w:name="discussion"/>
      <w:r>
        <w:t xml:space="preserve">Discussion</w:t>
      </w:r>
      <w:bookmarkEnd w:id="125"/>
    </w:p>
    <w:p>
      <w:pPr>
        <w:pStyle w:val="FirstParagraph"/>
      </w:pPr>
      <w:r>
        <w:t xml:space="preserve">The sampling conditions and watershed characteristics included in Random Forest variable importance measures (RF VIM) showed that across the six monitoring sites in the Leech WSA, stream NOM concentration and character were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wark gneiss underlying each basin.</w:t>
      </w:r>
    </w:p>
    <w:p>
      <w:pPr>
        <w:pStyle w:val="BodyText"/>
      </w:pPr>
      <w:r>
        <w:t xml:space="preserve"> </w:t>
      </w:r>
    </w:p>
    <w:p>
      <w:pPr>
        <w:pStyle w:val="BodyText"/>
      </w:pPr>
      <w:r>
        <w:t xml:space="preserve">Sub-basin NOM concentration and aromaticity decreased with increasing representation of metamorphic wark gneiss parent material, but its absence did not correspond to the site with highest concentration or aromaticity. The patterns observed between NOM and metamorphic parent material suggests a more complex relationship between watershed characteristics and NOM dynamics. The metasedimentary Leech River formation (argillite metagreywacke and metagreywacke) was inversely correlated (-0.92) to wark gneiss in the monitoring basins and wasn’t included in RF VIM analyses.</w:t>
      </w:r>
    </w:p>
    <w:p>
      <w:pPr>
        <w:pStyle w:val="BodyText"/>
      </w:pPr>
      <w:r>
        <w:t xml:space="preserve"> </w:t>
      </w:r>
    </w:p>
    <w:p>
      <w:pPr>
        <w:pStyle w:val="BodyText"/>
      </w:pPr>
      <w:r>
        <w:t xml:space="preserve">Antecedent wetness is an important watershed driver for NOM export as it influences flow paths and hydrologic connectivity to source material</w:t>
      </w:r>
      <w:r>
        <w:t xml:space="preserve"> </w:t>
      </w:r>
      <w:r>
        <w:t xml:space="preserve">(McMillan et al.</w:t>
      </w:r>
      <w:r>
        <w:t xml:space="preserve"> </w:t>
      </w:r>
      <w:hyperlink w:anchor="ref-McMillan2018">
        <w:r>
          <w:rPr>
            <w:rStyle w:val="Hyperlink"/>
          </w:rPr>
          <w:t xml:space="preserve">2018</w:t>
        </w:r>
      </w:hyperlink>
      <w:r>
        <w:t xml:space="preserve">)</w:t>
      </w:r>
      <w:r>
        <w:t xml:space="preserve">. Solute supply and hydrologic connectivity can be interpreted through the magnitude and direction of water quality changes in response to precipitation</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In the Leech WSA, stage changed in response to precipitation and there was an apparent threshold (near 0.75 of peak sampling stage) that suggested a point at which terrestrial aromatic NOM pools had reached peak connectivity to the monitored streams.</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w:t>
      </w:r>
      <w:r>
        <w:t xml:space="preserve"> </w:t>
      </w:r>
      <w:r>
        <w:t xml:space="preserve">(Zarnetske et al.</w:t>
      </w:r>
      <w:r>
        <w:t xml:space="preserve"> </w:t>
      </w:r>
      <w:hyperlink w:anchor="ref-Zarnetske2018">
        <w:r>
          <w:rPr>
            <w:rStyle w:val="Hyperlink"/>
          </w:rPr>
          <w:t xml:space="preserve">2018</w:t>
        </w:r>
      </w:hyperlink>
      <w:r>
        <w:t xml:space="preserve">)</w:t>
      </w:r>
      <w:r>
        <w:t xml:space="preserve">. Event-based rising limb changes in DOC concentration varied from a little more than 1% (at Leech-head and the Tunnel) to 95% (at West Leech). Across the Leech WSA, stream samples with the highest DOC were collected at the highest sampled stage 83% of the time; and there was an 80% co-occurrence of low DOC with low sampling stage. These results indicate an overall pattern of increasing DOC with stage, suggesting that approximately 80% of the time streams were hydrologically connected to a rich supply of NOM. Furthermore, there was a positive relationship between sample aromaticity and stage at the Tunnel, where streamflow from all sub-basins’ is integrated; when coupled with the observed stage-DOC dynamics, this indicates that the supply of NOM was humic in origin approximately 80% of the time.</w:t>
      </w:r>
    </w:p>
    <w:p>
      <w:pPr>
        <w:pStyle w:val="BodyText"/>
      </w:pPr>
      <w:r>
        <w:t xml:space="preserve"> </w:t>
      </w:r>
    </w:p>
    <w:p>
      <w:pPr>
        <w:pStyle w:val="BodyText"/>
      </w:pPr>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Chris-crk and Leech-head had the same proportions of samples with common maxima and minima of DOC and stage. The observed patterns of NOM concentration with stage changed across the wet season. Peak stage was more often associated with minimal DOC early in the wet season, whereas DOC tended to peak with stage (or close to peak stage) later in the wet season. The observed temporal change in NOM concentration is evidence of early wet-season NOM being limited in supply and subject to rapid flushing, while late wet-season NOM in streams was drawn from a more sustainable pool of source material. The apparent stage and wetness threshold for NOM concentration and character (approximately 75% of maximum stage and about 150 mm of antecedent 30-day rain), suggested a point at which humic NOM sources either reached maximum connectivity with the streams, or that the aromatic source pools were depleted.</w:t>
      </w:r>
    </w:p>
    <w:p>
      <w:pPr>
        <w:pStyle w:val="BodyText"/>
      </w:pPr>
      <w:r>
        <w:t xml:space="preserve"> </w:t>
      </w:r>
    </w:p>
    <w:p>
      <w:pPr>
        <w:pStyle w:val="BodyText"/>
      </w:pPr>
      <w:r>
        <w:t xml:space="preserve">The quantity of stream NOM was greatest early in the wet season, with peak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The antecedent wetness hysteresis loop of event 10 supports the hypothesis for dilution of near-stream (or in-stream) NOM early in the wet season. Later wet-season rain events transported larger, more aromatic NOM from source pools that were likely allochthonous humic material and whose export relied on greater landscape saturation and hydrologic connectivity. The hysteresis loop for event 11 supported the idea of stream NOM enrichment occurring as antecedent wetness increased (i.e. hydrologic connectivity increased).</w:t>
      </w:r>
    </w:p>
    <w:p>
      <w:pPr>
        <w:pStyle w:val="BodyText"/>
      </w:pPr>
      <w:r>
        <w:t xml:space="preserve"> </w:t>
      </w:r>
    </w:p>
    <w:p>
      <w:pPr>
        <w:pStyle w:val="BodyText"/>
      </w:pPr>
      <w:r>
        <w:t xml:space="preserve">Between the wet and dry season, there were opposite spatial patterns for NOM molecular size and aromatic character. NOM aromaticity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p>
    <w:p>
      <w:pPr>
        <w:pStyle w:val="BodyText"/>
      </w:pPr>
      <w:r>
        <w:t xml:space="preserve"> </w:t>
      </w:r>
    </w:p>
    <w:p>
      <w:pPr>
        <w:pStyle w:val="Heading3"/>
      </w:pPr>
      <w:bookmarkStart w:id="126" w:name="summary-and-future-directions"/>
      <w:r>
        <w:t xml:space="preserve">Summary and future directions</w:t>
      </w:r>
      <w:bookmarkEnd w:id="126"/>
    </w:p>
    <w:p>
      <w:pPr>
        <w:pStyle w:val="FirstParagraph"/>
      </w:pPr>
      <w:r>
        <w:t xml:space="preserve">The parent material in each sub-basin was important for NOM dynamics. Although the precise relationship was not completely resolved, it was evident that a greater proportion of metamorphic parent material corresponded to lower concentrations of less aromatic and less reactive NOM in streams.</w:t>
      </w:r>
    </w:p>
    <w:p>
      <w:pPr>
        <w:pStyle w:val="BodyText"/>
      </w:pPr>
      <w:r>
        <w:t xml:space="preserve"> </w:t>
      </w:r>
    </w:p>
    <w:p>
      <w:pPr>
        <w:pStyle w:val="BodyText"/>
      </w:pPr>
      <w:r>
        <w:t xml:space="preserve">Approximately 80% of the time during hydrologic pulses in the wet season, monitoring sites were connected to rich supplies of humic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humic source pools reached maximum connectivity with the streams.</w:t>
      </w:r>
    </w:p>
    <w:p>
      <w:pPr>
        <w:pStyle w:val="BodyText"/>
      </w:pPr>
      <w:r>
        <w:t xml:space="preserve"> </w:t>
      </w:r>
    </w:p>
    <w:p>
      <w:pPr>
        <w:pStyle w:val="BodyText"/>
      </w:pPr>
      <w:r>
        <w:t xml:space="preserve">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BodyText"/>
      </w:pPr>
      <w:r>
        <w:t xml:space="preserve">It was assumed that the arithmetic mean of precipitation measured at Chris Creek and Martin’s Gulch Fire Weather Stations was representative of conditions across the Leech WSA and mean rain data were applied to all monitoring sites (Chapter 2). However, it is entirely likely that the West Leech sub-basin experienced different weather than the rest of the watershed; observations during field work (Appendix</w:t>
      </w:r>
      <w:r>
        <w:t xml:space="preserve"> </w:t>
      </w:r>
      <w:r>
        <w:rPr>
          <w:i/>
        </w:rPr>
        <w:t xml:space="preserve">XXXX</w:t>
      </w:r>
      <w:r>
        <w:t xml:space="preserve">) support this possibility. When a weather station is constructed in the West Leech basin, more precise explorations could be conducted with respect to antecedent wetness and water quality dynamics.</w:t>
      </w:r>
    </w:p>
    <w:p>
      <w:pPr>
        <w:pStyle w:val="BodyText"/>
      </w:pPr>
      <w:r>
        <w:t xml:space="preserve"> </w:t>
      </w:r>
    </w:p>
    <w:p>
      <w:pPr>
        <w:pStyle w:val="BodyText"/>
      </w:pPr>
      <w:r>
        <w:t xml:space="preserve">With additional weather data (e.g. humidity), it would be interesting to explore whether the variables associated with increased fire risk or mass wasting might also be predictors for NOM dynamics (or any other water quality parameter of interest). The security of drinking water supply quality depends on weather, which is also a major player in other risks to the forested watershed. With greater understanding of the conditions and characteristics that drive water quality dynamics, an index system could be created that incorporates predictors for drinking water supply quality with those for forested watershed threats (e.g. wildfire or windthrow).</w:t>
      </w:r>
    </w:p>
    <w:p>
      <w:pPr>
        <w:pStyle w:val="Heading2"/>
      </w:pPr>
      <w:bookmarkStart w:id="127" w:name="X817d76ac5082c95eed9959930bb46ce8e101c6f"/>
      <w:r>
        <w:t xml:space="preserve">Linking Research Results with Concepts of Forest Hydrology and Source Water Treatability</w:t>
      </w:r>
      <w:bookmarkEnd w:id="127"/>
    </w:p>
    <w:p>
      <w:pPr>
        <w:pStyle w:val="Heading3"/>
      </w:pPr>
      <w:bookmarkStart w:id="128" w:name="synopsis-of-results"/>
      <w:r>
        <w:t xml:space="preserve">Synopsis of results</w:t>
      </w:r>
      <w:bookmarkEnd w:id="128"/>
    </w:p>
    <w:p>
      <w:pPr>
        <w:pStyle w:val="Heading4"/>
      </w:pPr>
      <w:bookmarkStart w:id="129" w:name="quantity-and-quality-of-nom"/>
      <w:r>
        <w:t xml:space="preserve">Quantity and quality of NOM</w:t>
      </w:r>
      <w:bookmarkEnd w:id="129"/>
    </w:p>
    <w:p>
      <w:pPr>
        <w:pStyle w:val="Heading5"/>
      </w:pPr>
      <w:bookmarkStart w:id="130" w:name="spatiotemporal-dynamics"/>
      <w:r>
        <w:t xml:space="preserve">Spatiotemporal dynamics</w:t>
      </w:r>
      <w:bookmarkEnd w:id="130"/>
    </w:p>
    <w:p>
      <w:pPr>
        <w:pStyle w:val="Compact"/>
        <w:numPr>
          <w:numId w:val="1003"/>
          <w:ilvl w:val="0"/>
        </w:numPr>
      </w:pPr>
      <w:r>
        <w:t xml:space="preserve">upstream to downstream patterns in quality changed between seasons but seasonal mean quantities were essentially the same (and DOC exceeded source water guidelines for TOC).</w:t>
      </w:r>
    </w:p>
    <w:p>
      <w:pPr>
        <w:pStyle w:val="Heading5"/>
      </w:pPr>
      <w:bookmarkStart w:id="131" w:name="drivers-for-variation"/>
      <w:r>
        <w:t xml:space="preserve">Drivers for variation</w:t>
      </w:r>
      <w:bookmarkEnd w:id="131"/>
    </w:p>
    <w:p>
      <w:pPr>
        <w:pStyle w:val="Compact"/>
        <w:numPr>
          <w:numId w:val="1004"/>
          <w:ilvl w:val="0"/>
        </w:numPr>
      </w:pPr>
      <w:r>
        <w:t xml:space="preserve">wetness connecting</w:t>
      </w:r>
    </w:p>
    <w:p>
      <w:pPr>
        <w:pStyle w:val="Heading3"/>
      </w:pPr>
      <w:bookmarkStart w:id="132" w:name="drinking-water-supply-lens"/>
      <w:r>
        <w:t xml:space="preserve">Drinking water supply lens</w:t>
      </w:r>
      <w:bookmarkEnd w:id="132"/>
    </w:p>
    <w:p>
      <w:pPr>
        <w:pStyle w:val="Compact"/>
        <w:numPr>
          <w:numId w:val="1005"/>
          <w:ilvl w:val="0"/>
        </w:numPr>
      </w:pPr>
      <w:r>
        <w:t xml:space="preserve">establishing connectivity among nested catchments as a baseline for experimental treatments (future)</w:t>
      </w:r>
    </w:p>
    <w:p>
      <w:pPr>
        <w:pStyle w:val="Heading4"/>
      </w:pPr>
      <w:bookmarkStart w:id="133" w:name="Xf50df7df478e0a1bac8d89f7d7df294a230f2bc"/>
      <w:r>
        <w:t xml:space="preserve">Seasonality and Leech River diversion for inter-basin water transfers</w:t>
      </w:r>
      <w:bookmarkEnd w:id="133"/>
    </w:p>
    <w:p>
      <w:pPr>
        <w:pStyle w:val="Heading4"/>
      </w:pPr>
      <w:bookmarkStart w:id="134" w:name="section"/>
      <w:bookmarkEnd w:id="134"/>
    </w:p>
    <w:p>
      <w:pPr>
        <w:pStyle w:val="FirstParagraph"/>
      </w:pPr>
      <w:r>
        <w:t xml:space="preserve">.</w:t>
      </w:r>
      <w:r>
        <w:t xml:space="preserve"> </w:t>
      </w:r>
      <w:r>
        <w:t xml:space="preserve">.</w:t>
      </w:r>
      <w:r>
        <w:t xml:space="preserve"> </w:t>
      </w:r>
      <w:r>
        <w:t xml:space="preserve">.</w:t>
      </w:r>
    </w:p>
    <w:p>
      <w:pPr>
        <w:pStyle w:val="BodyText"/>
      </w:pPr>
      <w:r>
        <w:t xml:space="preserve">Mean DOC among the six sites was essentially the same in both the wet and dry seasons (Chapter 3), but spatial patterns differed between the seasons. In the dry season, aqueous NOM aromaticity increased from upstream to downstream monitoring sites; while the wet season showed effects of dilution on both the quantity and quality of NOM. These seasonal differences support both a shift in NOM source material and a shift from NOM processing in the dry season and transport/dilution effects in the wet season.</w:t>
      </w:r>
    </w:p>
    <w:p>
      <w:pPr>
        <w:pStyle w:val="BodyText"/>
      </w:pPr>
      <w:r>
        <w:t xml:space="preserve"> </w:t>
      </w:r>
    </w:p>
    <w:p>
      <w:pPr>
        <w:pStyle w:val="BodyText"/>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35" w:name="concluding-remarks"/>
      <w:r>
        <w:t xml:space="preserve">Concluding remarks</w:t>
      </w:r>
      <w:bookmarkEnd w:id="135"/>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36" w:name="references"/>
      <w:r>
        <w:t xml:space="preserve">References</w:t>
      </w:r>
      <w:bookmarkEnd w:id="136"/>
    </w:p>
    <w:p>
      <w:pPr>
        <w:pStyle w:val="Heading1"/>
      </w:pPr>
      <w:bookmarkStart w:id="137" w:name="appendices"/>
      <w:r>
        <w:t xml:space="preserve">Appendices</w:t>
      </w:r>
      <w:bookmarkEnd w:id="137"/>
    </w:p>
    <w:p>
      <w:pPr>
        <w:pStyle w:val="FirstParagraph"/>
      </w:pPr>
      <w:r>
        <w:t xml:space="preserve">##Technology summary</w:t>
      </w:r>
      <w:r>
        <w:t xml:space="preserve"> </w:t>
      </w:r>
      <w:r>
        <w:t xml:space="preserve">####### Technology summary</w:t>
      </w:r>
    </w:p>
    <w:p>
      <w:pPr>
        <w:pStyle w:val="BodyText"/>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38" w:name="example-calculations"/>
      <w:r>
        <w:t xml:space="preserve">Example calculations</w:t>
      </w:r>
      <w:bookmarkEnd w:id="138"/>
    </w:p>
    <w:p>
      <w:pPr>
        <w:pStyle w:val="FirstParagraph"/>
      </w:pPr>
      <w:r>
        <w:t xml:space="preserve">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w:t>
      </w:r>
      <w:r>
        <w:t xml:space="preserve"> </w:t>
      </w:r>
      <w:r>
        <w:t xml:space="preserve">“</w:t>
      </w:r>
      <w:r>
        <w:t xml:space="preserve">staff gauge</w:t>
      </w:r>
      <w:r>
        <w:t xml:space="preserve">”</w:t>
      </w:r>
      <w:r>
        <w:t xml:space="preserve"> </w:t>
      </w:r>
      <w:r>
        <w:t xml:space="preserve">(measuring tape on the stilling well) datum.</w:t>
      </w:r>
    </w:p>
    <w:p>
      <w:pPr>
        <w:pStyle w:val="BodyText"/>
      </w:pPr>
      <w:r>
        <w:t xml:space="preserve">Equation 1:</w:t>
      </w:r>
    </w:p>
    <w:p>
      <w:pPr>
        <w:pStyle w:val="BodyText"/>
      </w:pPr>
      <m:oMathPara>
        <m:oMathParaPr>
          <m:jc m:val="center"/>
        </m:oMathParaPr>
        <m:oMath>
          <m:r>
            <m:t>n</m:t>
          </m:r>
          <m:r>
            <m:t>o</m:t>
          </m:r>
          <m:r>
            <m:t>r</m:t>
          </m:r>
          <m:r>
            <m:t>m</m:t>
          </m:r>
          <m:r>
            <m:t>a</m:t>
          </m:r>
          <m:r>
            <m:t>l</m:t>
          </m:r>
          <m:r>
            <m:t>i</m:t>
          </m:r>
          <m:r>
            <m:t>z</m:t>
          </m:r>
          <m:r>
            <m:t>e</m:t>
          </m:r>
          <m:r>
            <m:t>d</m:t>
          </m:r>
          <m:r>
            <m:t> </m:t>
          </m:r>
          <m:sSub>
            <m:e>
              <m:r>
                <m:t>X</m:t>
              </m:r>
            </m:e>
            <m:sub>
              <m:r>
                <m:t>i</m:t>
              </m:r>
            </m:sub>
          </m:sSub>
          <m:r>
            <m:t>=</m:t>
          </m:r>
          <m:f>
            <m:fPr>
              <m:type m:val="bar"/>
            </m:fPr>
            <m:num>
              <m:r>
                <m:t>(</m:t>
              </m:r>
              <m:sSub>
                <m:e>
                  <m:r>
                    <m:t>X</m:t>
                  </m:r>
                </m:e>
                <m:sub>
                  <m:r>
                    <m:t>i</m:t>
                  </m:r>
                </m:sub>
              </m:sSub>
              <m:r>
                <m:t>−</m:t>
              </m:r>
              <m:sSub>
                <m:e>
                  <m:r>
                    <m:t>X</m:t>
                  </m:r>
                </m:e>
                <m:sub>
                  <m:r>
                    <m:t>m</m:t>
                  </m:r>
                  <m:r>
                    <m:t>i</m:t>
                  </m:r>
                  <m:r>
                    <m:t>n</m:t>
                  </m:r>
                </m:sub>
              </m:sSub>
              <m:r>
                <m:t>)</m:t>
              </m:r>
            </m:num>
            <m:den>
              <m:r>
                <m:t>(</m:t>
              </m:r>
              <m:sSub>
                <m:e>
                  <m:r>
                    <m:t>X</m:t>
                  </m:r>
                </m:e>
                <m:sub>
                  <m:r>
                    <m:t>m</m:t>
                  </m:r>
                  <m:r>
                    <m:t>a</m:t>
                  </m:r>
                  <m:r>
                    <m:t>x</m:t>
                  </m:r>
                </m:sub>
              </m:sSub>
              <m:r>
                <m:t>−</m:t>
              </m:r>
              <m:sSub>
                <m:e>
                  <m:r>
                    <m:t>X</m:t>
                  </m:r>
                </m:e>
                <m:sub>
                  <m:r>
                    <m:t>m</m:t>
                  </m:r>
                  <m:r>
                    <m:t>i</m:t>
                  </m:r>
                  <m:r>
                    <m:t>n</m:t>
                  </m:r>
                </m:sub>
              </m:sSub>
              <m:r>
                <m:t>)</m:t>
              </m:r>
            </m:den>
          </m:f>
        </m:oMath>
      </m:oMathPara>
    </w:p>
    <w:p>
      <w:pPr>
        <w:pStyle w:val="Heading2"/>
      </w:pPr>
      <w:bookmarkStart w:id="139" w:name="forwater-crd"/>
      <w:r>
        <w:t xml:space="preserve">forWater CRD</w:t>
      </w:r>
      <w:bookmarkEnd w:id="139"/>
    </w:p>
    <w:p>
      <w:pPr>
        <w:pStyle w:val="Heading7"/>
      </w:pPr>
      <w:bookmarkStart w:id="140" w:name="Xe94dc613e79104e648a7e62ba8d389c33fd5369"/>
      <w:r>
        <w:t xml:space="preserve">NSERC forWater Network &amp; the Capital Regional District</w:t>
      </w:r>
      <w:bookmarkEnd w:id="140"/>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r>
        <w:t xml:space="preserve"> </w:t>
      </w:r>
      <w:r>
        <w:t xml:space="preserve">## GVWSA</w:t>
      </w:r>
      <w:r>
        <w:t xml:space="preserve"> </w:t>
      </w:r>
      <w:r>
        <w:t xml:space="preserve">######## Greater Victoria Regional Water Supply System, CRD</w:t>
      </w:r>
    </w:p>
    <w:p>
      <w:pPr>
        <w:pStyle w:val="BodyText"/>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r>
        <w:t xml:space="preserve"> </w:t>
      </w:r>
      <w:r>
        <w:t xml:space="preserve">## LeechWSA details</w:t>
      </w:r>
      <w:r>
        <w:t xml:space="preserve"> </w:t>
      </w:r>
      <w:r>
        <w:t xml:space="preserve">######## Leech water supply area monitoring sites: details and observations</w:t>
      </w:r>
    </w:p>
    <w:p>
      <w:pPr>
        <w:pStyle w:val="BodyText"/>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41" w:name="weeks-creek-site-1"/>
      <w:r>
        <w:t xml:space="preserve">Weeks Creek (site 1)</w:t>
      </w:r>
      <w:bookmarkEnd w:id="141"/>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42" w:name="chris-creek-site-2"/>
      <w:r>
        <w:t xml:space="preserve">Chris Creek (site 2)</w:t>
      </w:r>
      <w:bookmarkEnd w:id="142"/>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43" w:name="leech-head-site-3"/>
      <w:r>
        <w:t xml:space="preserve">Leech Head (site 3)</w:t>
      </w:r>
      <w:bookmarkEnd w:id="143"/>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44" w:name="cragg-creek-site-4"/>
      <w:r>
        <w:t xml:space="preserve">Cragg Creek (site 4)</w:t>
      </w:r>
      <w:bookmarkEnd w:id="144"/>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28: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45"/>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46" w:name="west-leech-site-5"/>
      <w:r>
        <w:t xml:space="preserve">West Leech (site 5)</w:t>
      </w:r>
      <w:bookmarkEnd w:id="146"/>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47" w:name="leech-tunnel-site-6"/>
      <w:r>
        <w:t xml:space="preserve">Leech Tunnel (site 6)</w:t>
      </w:r>
      <w:bookmarkEnd w:id="147"/>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r>
        <w:t xml:space="preserve"> </w:t>
      </w:r>
      <w:r>
        <w:t xml:space="preserve">## Treatability</w:t>
      </w:r>
      <w:r>
        <w:t xml:space="preserve"> </w:t>
      </w:r>
      <w:r>
        <w:t xml:space="preserve">######## Treatability: forWater coordinated treatability analyses for disinfection by-product formation potentials (DBP-FP)</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r>
        <w:t xml:space="preserve"> </w:t>
      </w:r>
      <w:r>
        <w:t xml:space="preserve">### results</w:t>
      </w:r>
      <w:r>
        <w:t xml:space="preserve"> </w:t>
      </w:r>
      <w:r>
        <w:t xml:space="preserve">######### Results: Treatability &amp; DOC</w:t>
      </w:r>
    </w:p>
    <w:p>
      <w:pPr>
        <w:pStyle w:val="BodyText"/>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29</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29: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4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2"/>
      </w:pPr>
      <w:bookmarkStart w:id="149" w:name="metals"/>
      <w:r>
        <w:t xml:space="preserve">Metals</w:t>
      </w:r>
      <w:bookmarkEnd w:id="149"/>
    </w:p>
    <w:p>
      <w:pPr>
        <w:pStyle w:val="Heading8"/>
      </w:pPr>
      <w:bookmarkStart w:id="150" w:name="X4b7b3e6ac6573f953e6980479d08b8ee7c28f75"/>
      <w:r>
        <w:t xml:space="preserve">Metals &amp; DOC: collaborative sampling for Metals on behalf of the CRD</w:t>
      </w:r>
      <w:bookmarkEnd w:id="150"/>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r>
        <w:t xml:space="preserve"> </w:t>
      </w:r>
      <w:r>
        <w:t xml:space="preserve">### and DOC</w:t>
      </w:r>
      <w:r>
        <w:t xml:space="preserve"> </w:t>
      </w:r>
      <w:r>
        <w:t xml:space="preserve">######### Metals &amp; DOC</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30</w:t>
      </w:r>
      <w:r>
        <w:t xml:space="preserve"> </w:t>
      </w:r>
      <w:r>
        <w:t xml:space="preserve">shows DOC with total metals in μg/L, and Figure</w:t>
      </w:r>
      <w:r>
        <w:t xml:space="preserve"> </w:t>
      </w:r>
      <w:r>
        <w:t xml:space="preserve">31</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0: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5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1: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5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r>
        <w:t xml:space="preserve"> </w:t>
      </w:r>
      <w:r>
        <w:t xml:space="preserve">## FWx</w:t>
      </w:r>
      <w:r>
        <w:t xml:space="preserve"> </w:t>
      </w:r>
      <w:r>
        <w:t xml:space="preserve">######## FWx stations in the LWSA: ancilary data</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32</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2: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53"/>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r>
        <w:t xml:space="preserve"> </w:t>
      </w:r>
      <w:r>
        <w:t xml:space="preserve">## Linear Wx regress</w:t>
      </w:r>
      <w:r>
        <w:t xml:space="preserve"> </w:t>
      </w:r>
      <w:r>
        <w:t xml:space="preserve">####### Linear regression for air temperatures at vertical racks</w:t>
      </w:r>
    </w:p>
    <w:p>
      <w:pPr>
        <w:pStyle w:val="BodyText"/>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33</w:t>
      </w:r>
      <w:r>
        <w:t xml:space="preserve">).</w:t>
      </w:r>
    </w:p>
    <w:p>
      <w:pPr>
        <w:pStyle w:val="BodyText"/>
      </w:pPr>
      <w:r>
        <w:t xml:space="preserve"> </w:t>
      </w:r>
    </w:p>
    <w:p>
      <w:pPr>
        <w:pStyle w:val="CaptionedFigure"/>
      </w:pPr>
      <w:r>
        <w:drawing>
          <wp:inline>
            <wp:extent cx="5504749" cy="5504749"/>
            <wp:effectExtent b="0" l="0" r="0" t="0"/>
            <wp:docPr descr="Figure 33: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33:</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34</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4: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55"/>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34:</w:t>
      </w:r>
      <w:r>
        <w:t xml:space="preserve"> </w:t>
      </w:r>
      <w:r>
        <w:rPr>
          <w:i/>
        </w:rPr>
        <w:t xml:space="preserve">Temperatures recorded in air and water on vertical racks at each research site.</w:t>
      </w:r>
    </w:p>
    <w:p>
      <w:pPr>
        <w:pStyle w:val="BodyText"/>
      </w:pPr>
      <w:r>
        <w:t xml:space="preserve"> </w:t>
      </w:r>
      <w:r>
        <w:t xml:space="preserve"> </w:t>
      </w:r>
      <w:r>
        <w:t xml:space="preserve">## linear regress</w:t>
      </w:r>
      <w:r>
        <w:t xml:space="preserve"> </w:t>
      </w:r>
      <w:r>
        <w:t xml:space="preserve">######## Linear regression: air temperature estimation</w:t>
      </w:r>
    </w:p>
    <w:p>
      <w:pPr>
        <w:pStyle w:val="BodyText"/>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35</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5: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35:</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36</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36: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36:</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8" w:name="antecedent-30-day-rain-and-stream-stage"/>
      <w:r>
        <w:t xml:space="preserve">Antecedent 30-day rain and stream stage</w:t>
      </w:r>
      <w:bookmarkEnd w:id="158"/>
    </w:p>
    <w:p>
      <w:pPr>
        <w:pStyle w:val="FirstParagraph"/>
      </w:pPr>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Fwx mean of Chris Creek and Martin’s Gulch rain data) and measured stage loosely resembles the shape of an expected rating curve (Figure</w:t>
      </w:r>
      <w:r>
        <w:t xml:space="preserve"> </w:t>
      </w:r>
      <w:r>
        <w:t xml:space="preserve">37</w:t>
      </w:r>
      <w:r>
        <w:t xml:space="preserve">).</w:t>
      </w:r>
    </w:p>
    <w:p>
      <w:pPr>
        <w:pStyle w:val="BodyText"/>
      </w:pPr>
      <w:r>
        <w:t xml:space="preserve"> </w:t>
      </w:r>
    </w:p>
    <w:p>
      <w:pPr>
        <w:pStyle w:val="CaptionedFigure"/>
      </w:pPr>
      <w:r>
        <w:drawing>
          <wp:inline>
            <wp:extent cx="3669832" cy="3669832"/>
            <wp:effectExtent b="0" l="0" r="0" t="0"/>
            <wp:docPr descr="Figure 37: TRUE" title="" id="1" name="Picture"/>
            <a:graphic>
              <a:graphicData uri="http://schemas.openxmlformats.org/drawingml/2006/picture">
                <pic:pic>
                  <pic:nvPicPr>
                    <pic:cNvPr descr="R-outputs_UBC-forWater-MSc_HMc/figures/Ch4-A_RF_ant.rain-norm.stage.png" id="0" name="Picture"/>
                    <pic:cNvPicPr>
                      <a:picLocks noChangeArrowheads="1" noChangeAspect="1"/>
                    </pic:cNvPicPr>
                  </pic:nvPicPr>
                  <pic:blipFill>
                    <a:blip r:embed="rId15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37: TRUE</w:t>
      </w:r>
    </w:p>
    <w:p>
      <w:pPr>
        <w:pStyle w:val="BodyText"/>
      </w:pPr>
      <w:r>
        <w:t xml:space="preserve"> </w:t>
      </w:r>
    </w:p>
    <w:p>
      <w:pPr>
        <w:pStyle w:val="Heading2"/>
      </w:pPr>
      <w:bookmarkStart w:id="160" w:name="extended-ch3-results"/>
      <w:r>
        <w:t xml:space="preserve">extended ch3 results</w:t>
      </w:r>
      <w:bookmarkEnd w:id="160"/>
    </w:p>
    <w:p>
      <w:pPr>
        <w:pStyle w:val="Heading7"/>
      </w:pPr>
      <w:bookmarkStart w:id="161" w:name="results-extended"/>
      <w:r>
        <w:t xml:space="preserve">Results extended</w:t>
      </w:r>
      <w:bookmarkEnd w:id="161"/>
    </w:p>
    <w:p>
      <w:pPr>
        <w:pStyle w:val="Heading8"/>
      </w:pPr>
      <w:bookmarkStart w:id="162" w:name="Xb062a35fa65c601d9b61eaa15affd59e6cc37d7"/>
      <w:r>
        <w:t xml:space="preserve">Ch.2 extended: NOM sampling in nested catchments</w:t>
      </w:r>
      <w:bookmarkEnd w:id="162"/>
    </w:p>
    <w:p>
      <w:pPr>
        <w:pStyle w:val="FirstParagraph"/>
      </w:pPr>
      <w:r>
        <w:t xml:space="preserve">Below the confluences of headwaters sites (Figure</w:t>
      </w:r>
      <w:r>
        <w:t xml:space="preserve"> </w:t>
      </w:r>
      <w:r>
        <w:t xml:space="preserve">38</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38</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38: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6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39</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39: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6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br/>
      </w:r>
    </w:p>
    <w:p>
      <w:pPr>
        <w:pStyle w:val="Heading2"/>
      </w:pPr>
      <w:bookmarkStart w:id="165" w:name="extended-chapter-4-results"/>
      <w:r>
        <w:t xml:space="preserve">extended chapter 4 results</w:t>
      </w:r>
      <w:bookmarkEnd w:id="165"/>
    </w:p>
    <w:p>
      <w:pPr>
        <w:pStyle w:val="Heading8"/>
      </w:pPr>
      <w:bookmarkStart w:id="166" w:name="ch.4-extended-rf-vim"/>
      <w:r>
        <w:t xml:space="preserve">Ch.4 extended: RF VIM</w:t>
      </w:r>
      <w:bookmarkEnd w:id="166"/>
    </w:p>
    <w:p>
      <w:pPr>
        <w:pStyle w:val="FirstParagraph"/>
      </w:pPr>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predictants were combined, it was not expected that the relative ranking would change, and that suggests that these two groups (static and dynamic) of predictants should be separated for RF VIM. Compare plots for the two groups (Ch 4) to Figure</w:t>
      </w:r>
      <w:r>
        <w:t xml:space="preserve"> </w:t>
      </w:r>
      <w:r>
        <w:t xml:space="preserve">40</w:t>
      </w:r>
      <w:r>
        <w:t xml:space="preserve"> </w:t>
      </w:r>
      <w:r>
        <w:t xml:space="preserve">and see how the relative rankings changed.</w:t>
      </w:r>
    </w:p>
    <w:p>
      <w:pPr>
        <w:pStyle w:val="CaptionedFigure"/>
      </w:pPr>
      <w:r>
        <w:drawing>
          <wp:inline>
            <wp:extent cx="5504749" cy="6880936"/>
            <wp:effectExtent b="0" l="0" r="0" t="0"/>
            <wp:docPr descr="Figure 40: TRUE" title="" id="1" name="Picture"/>
            <a:graphic>
              <a:graphicData uri="http://schemas.openxmlformats.org/drawingml/2006/picture">
                <pic:pic>
                  <pic:nvPicPr>
                    <pic:cNvPr descr="R-outputs_UBC-forWater-MSc_HMc/figures/Appendix-Ch4_RFplot-summary_DOC-E2E3-SAC254.png" id="0" name="Picture"/>
                    <pic:cNvPicPr>
                      <a:picLocks noChangeArrowheads="1" noChangeAspect="1"/>
                    </pic:cNvPicPr>
                  </pic:nvPicPr>
                  <pic:blipFill>
                    <a:blip r:embed="rId167"/>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40: TRUE</w:t>
      </w:r>
    </w:p>
    <w:p>
      <w:pPr>
        <w:pStyle w:val="BodyText"/>
      </w:pPr>
      <w:r>
        <w:t xml:space="preserve"> </w:t>
      </w:r>
    </w:p>
    <w:p>
      <w:pPr>
        <w:pStyle w:val="BodyText"/>
      </w:pPr>
      <w:r>
        <w:t xml:space="preserve">Enough samples were collected in both the dry and wet seasons for DOC assessment to tease apart a wet season increase in DOC with increasing antecedent air temperatures, while there was no apaprent trend in the dry season (Figure</w:t>
      </w:r>
      <w:r>
        <w:t xml:space="preserve"> </w:t>
      </w:r>
      <w:r>
        <w:t xml:space="preserve">41</w:t>
      </w:r>
      <w:r>
        <w:t xml:space="preserve">).</w:t>
      </w:r>
    </w:p>
    <w:p>
      <w:pPr>
        <w:pStyle w:val="CaptionedFigure"/>
      </w:pPr>
      <w:r>
        <w:drawing>
          <wp:inline>
            <wp:extent cx="3669832" cy="3669832"/>
            <wp:effectExtent b="0" l="0" r="0" t="0"/>
            <wp:docPr descr="Figure 41: TRUE" title="" id="1" name="Picture"/>
            <a:graphic>
              <a:graphicData uri="http://schemas.openxmlformats.org/drawingml/2006/picture">
                <pic:pic>
                  <pic:nvPicPr>
                    <pic:cNvPr descr="R-outputs_UBC-forWater-MSc_HMc/figures/Appendix-Ch4_RF_DOCtemp.png" id="0" name="Picture"/>
                    <pic:cNvPicPr>
                      <a:picLocks noChangeArrowheads="1" noChangeAspect="1"/>
                    </pic:cNvPicPr>
                  </pic:nvPicPr>
                  <pic:blipFill>
                    <a:blip r:embed="rId16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41: TRUE</w:t>
      </w:r>
    </w:p>
    <w:p>
      <w:pPr>
        <w:pStyle w:val="BodyText"/>
      </w:pPr>
      <w:r>
        <w:t xml:space="preserve"> </w:t>
      </w:r>
    </w:p>
    <w:p>
      <w:pPr>
        <w:pStyle w:val="BodyText"/>
      </w:pPr>
      <w:r>
        <w:t xml:space="preserve">30-day antecedent rain by site…(Figure</w:t>
      </w:r>
      <w:r>
        <w:t xml:space="preserve"> </w:t>
      </w:r>
      <w:r>
        <w:t xml:space="preserve">42</w:t>
      </w:r>
      <w:r>
        <w:t xml:space="preserve">)</w:t>
      </w:r>
    </w:p>
    <w:p>
      <w:pPr>
        <w:pStyle w:val="BodyText"/>
      </w:pPr>
      <w:r>
        <w:t xml:space="preserve"> </w:t>
      </w:r>
    </w:p>
    <w:p>
      <w:pPr>
        <w:pStyle w:val="CaptionedFigure"/>
      </w:pPr>
      <w:r>
        <w:drawing>
          <wp:inline>
            <wp:extent cx="5504749" cy="6422207"/>
            <wp:effectExtent b="0" l="0" r="0" t="0"/>
            <wp:docPr descr="Figure 42:  Antecedent 30-day rain as a predictor for NOM concentration (DOC) and character (SAC254 &amp; E2:E3) across six monitoring sites in the Leech watershed. Each plot includes a loess trend line." title="" id="1" name="Picture"/>
            <a:graphic>
              <a:graphicData uri="http://schemas.openxmlformats.org/drawingml/2006/picture">
                <pic:pic>
                  <pic:nvPicPr>
                    <pic:cNvPr descr="R-outputs_UBC-forWater-MSc_HMc/figures/Ch4_RF_rain-bysite.png" id="0" name="Picture"/>
                    <pic:cNvPicPr>
                      <a:picLocks noChangeArrowheads="1" noChangeAspect="1"/>
                    </pic:cNvPicPr>
                  </pic:nvPicPr>
                  <pic:blipFill>
                    <a:blip r:embed="rId169"/>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42:</w:t>
      </w:r>
      <w:r>
        <w:t xml:space="preserve"> </w:t>
      </w:r>
      <w:r>
        <w:t xml:space="preserve"> </w:t>
      </w:r>
      <w:r>
        <w:t xml:space="preserve">Antecedent 30-day rain as a predictor for NOM concentration (DOC) and character (SAC</w:t>
      </w:r>
      <w:r>
        <w:rPr>
          <w:vertAlign w:val="subscript"/>
        </w:rPr>
        <w:t xml:space="preserve">254</w:t>
      </w:r>
      <w:r>
        <w:t xml:space="preserve"> </w:t>
      </w:r>
      <w:r>
        <w:t xml:space="preserve">&amp; E</w:t>
      </w:r>
      <w:r>
        <w:rPr>
          <w:vertAlign w:val="subscript"/>
        </w:rPr>
        <w:t xml:space="preserve">2</w:t>
      </w:r>
      <w:r>
        <w:t xml:space="preserve">:E</w:t>
      </w:r>
      <w:r>
        <w:rPr>
          <w:vertAlign w:val="subscript"/>
        </w:rPr>
        <w:t xml:space="preserve">3</w:t>
      </w:r>
      <w:r>
        <w:t xml:space="preserve">) across six monitoring sites in the Leech watershed. Each plot includes a loess trend line.</w:t>
      </w:r>
    </w:p>
    <w:p>
      <w:pPr>
        <w:pStyle w:val="BodyText"/>
      </w:pPr>
      <w:r>
        <w:t xml:space="preserve"> </w:t>
      </w:r>
    </w:p>
    <w:p>
      <w:pPr>
        <w:pStyle w:val="Heading2"/>
      </w:pPr>
      <w:bookmarkStart w:id="170" w:name="possible-trash"/>
      <w:r>
        <w:t xml:space="preserve">possible trash</w:t>
      </w:r>
      <w:bookmarkEnd w:id="170"/>
    </w:p>
    <w:p>
      <w:pPr>
        <w:pStyle w:val="Heading7"/>
      </w:pPr>
      <w:bookmarkStart w:id="171" w:name="possible-trash-1"/>
      <w:r>
        <w:t xml:space="preserve">possible trash</w:t>
      </w:r>
      <w:bookmarkEnd w:id="171"/>
    </w:p>
    <w:p>
      <w:pPr>
        <w:pStyle w:val="Heading3"/>
      </w:pPr>
      <w:bookmarkStart w:id="172" w:name="sampling-methods"/>
      <w:r>
        <w:t xml:space="preserve">sampling methods</w:t>
      </w:r>
      <w:bookmarkEnd w:id="172"/>
    </w:p>
    <w:p>
      <w:pPr>
        <w:pStyle w:val="Heading7"/>
      </w:pPr>
      <w:bookmarkStart w:id="173" w:name="sampling-methods-extended"/>
      <w:r>
        <w:t xml:space="preserve">Sampling methods extended</w:t>
      </w:r>
      <w:bookmarkEnd w:id="173"/>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r>
        <w:t xml:space="preserve"> </w:t>
      </w:r>
      <w:r>
        <w:t xml:space="preserve">### vertical racks</w:t>
      </w:r>
      <w:r>
        <w:t xml:space="preserve"> </w:t>
      </w:r>
      <w:r>
        <w:t xml:space="preserve">######## Vertical racks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r>
        <w:t xml:space="preserve"> </w:t>
      </w:r>
      <w:r>
        <w:t xml:space="preserve">## prototype</w:t>
      </w:r>
      <w:r>
        <w:t xml:space="preserve"> </w:t>
      </w:r>
      <w:r>
        <w:t xml:space="preserve">######## Prototype for falling limb passive sampling</w:t>
      </w:r>
    </w:p>
    <w:p>
      <w:pPr>
        <w:pStyle w:val="BodyText"/>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r>
        <w:t xml:space="preserve"> </w:t>
      </w:r>
      <w:r>
        <w:t xml:space="preserve">### field protocol</w:t>
      </w:r>
      <w:r>
        <w:t xml:space="preserve"> </w:t>
      </w:r>
      <w:r>
        <w:t xml:space="preserve">######## Field protocol</w:t>
      </w:r>
    </w:p>
    <w:p>
      <w:pPr>
        <w:pStyle w:val="BodyText"/>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r>
        <w:t xml:space="preserve"> </w:t>
      </w:r>
      <w:r>
        <w:t xml:space="preserve">### Malahat Wx</w:t>
      </w:r>
      <w:r>
        <w:t xml:space="preserve"> </w:t>
      </w:r>
      <w:r>
        <w:t xml:space="preserve">######## Malahat 5 year weather</w:t>
      </w:r>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43</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888"/>
            <wp:effectExtent b="0" l="0" r="0" t="0"/>
            <wp:docPr descr="Figure 4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7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7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r>
        <w:t xml:space="preserve"> </w:t>
      </w:r>
      <w:r>
        <w:t xml:space="preserve">## spatial variance</w:t>
      </w:r>
      <w:r>
        <w:t xml:space="preserve"> </w:t>
      </w:r>
      <w:r>
        <w:t xml:space="preserve">######## Spatial variance in DOC concentrations</w:t>
      </w:r>
    </w:p>
    <w:p>
      <w:pPr>
        <w:pStyle w:val="BodyText"/>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76"/>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2"/>
      </w:pPr>
      <w:bookmarkStart w:id="177" w:name="e2e3-over-time-loess"/>
      <w:r>
        <w:t xml:space="preserve">E2E3 over time (loess)</w:t>
      </w:r>
      <w:bookmarkEnd w:id="177"/>
    </w:p>
    <w:p>
      <w:pPr>
        <w:pStyle w:val="Heading9"/>
      </w:pPr>
      <w:bookmarkStart w:id="178" w:name="e2e3-over-time"/>
      <w:r>
        <w:t xml:space="preserve">E2E3 over time</w:t>
      </w:r>
      <w:bookmarkEnd w:id="178"/>
    </w:p>
    <w:p>
      <w:pPr>
        <w:pStyle w:val="CaptionedFigure"/>
      </w:pPr>
      <w:r>
        <w:drawing>
          <wp:inline>
            <wp:extent cx="5504749" cy="3669832"/>
            <wp:effectExtent b="0" l="0" r="0" t="0"/>
            <wp:docPr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79"/>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327" w:name="refs"/>
    <w:bookmarkStart w:id="181"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80">
        <w:r>
          <w:rPr>
            <w:rStyle w:val="Hyperlink"/>
          </w:rPr>
          <w:t xml:space="preserve">https://doi.org/10.1111/ele.12897</w:t>
        </w:r>
      </w:hyperlink>
      <w:r>
        <w:t xml:space="preserve">.</w:t>
      </w:r>
    </w:p>
    <w:bookmarkEnd w:id="181"/>
    <w:bookmarkStart w:id="183" w:name="ref-Aguilera2018"/>
    <w:p>
      <w:pPr>
        <w:pStyle w:val="Bibliography"/>
      </w:pPr>
      <w:r>
        <w:t xml:space="preserve">Aguilera, Rosana, and John M. Melack. 2018. “Concentration-Discharge Responses to Storm Events in Coastal California Watersheds.”</w:t>
      </w:r>
      <w:r>
        <w:t xml:space="preserve"> </w:t>
      </w:r>
      <w:r>
        <w:rPr>
          <w:i/>
        </w:rPr>
        <w:t xml:space="preserve">Water Resources Research</w:t>
      </w:r>
      <w:r>
        <w:t xml:space="preserve"> </w:t>
      </w:r>
      <w:r>
        <w:t xml:space="preserve">54 (1): 407–24.</w:t>
      </w:r>
      <w:r>
        <w:t xml:space="preserve"> </w:t>
      </w:r>
      <w:hyperlink r:id="rId182">
        <w:r>
          <w:rPr>
            <w:rStyle w:val="Hyperlink"/>
          </w:rPr>
          <w:t xml:space="preserve">https://doi.org/10.1002/2017WR021578</w:t>
        </w:r>
      </w:hyperlink>
      <w:r>
        <w:t xml:space="preserve">.</w:t>
      </w:r>
    </w:p>
    <w:bookmarkEnd w:id="183"/>
    <w:bookmarkStart w:id="185"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84">
        <w:r>
          <w:rPr>
            <w:rStyle w:val="Hyperlink"/>
          </w:rPr>
          <w:t xml:space="preserve">https://doi.org/10.1002/j.1551-8833.1995.tb06299.x</w:t>
        </w:r>
      </w:hyperlink>
      <w:r>
        <w:t xml:space="preserve">.</w:t>
      </w:r>
    </w:p>
    <w:bookmarkEnd w:id="185"/>
    <w:bookmarkStart w:id="187"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86">
        <w:r>
          <w:rPr>
            <w:rStyle w:val="Hyperlink"/>
          </w:rPr>
          <w:t xml:space="preserve">https://doi.org/10.1021/es103992s</w:t>
        </w:r>
      </w:hyperlink>
      <w:r>
        <w:t xml:space="preserve">.</w:t>
      </w:r>
    </w:p>
    <w:bookmarkEnd w:id="187"/>
    <w:bookmarkStart w:id="189"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88">
        <w:r>
          <w:rPr>
            <w:rStyle w:val="Hyperlink"/>
          </w:rPr>
          <w:t xml:space="preserve">https://doi.org/10.1016/j.jhydrol.2014.05.060</w:t>
        </w:r>
      </w:hyperlink>
      <w:r>
        <w:t xml:space="preserve">.</w:t>
      </w:r>
    </w:p>
    <w:bookmarkEnd w:id="189"/>
    <w:bookmarkStart w:id="191"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90">
        <w:r>
          <w:rPr>
            <w:rStyle w:val="Hyperlink"/>
          </w:rPr>
          <w:t xml:space="preserve">https://doi.org/10.1029/2007JG000674</w:t>
        </w:r>
      </w:hyperlink>
      <w:r>
        <w:t xml:space="preserve">.</w:t>
      </w:r>
    </w:p>
    <w:bookmarkEnd w:id="191"/>
    <w:bookmarkStart w:id="193"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92">
        <w:r>
          <w:rPr>
            <w:rStyle w:val="Hyperlink"/>
          </w:rPr>
          <w:t xml:space="preserve">http://www.standardmethods.org/</w:t>
        </w:r>
      </w:hyperlink>
      <w:r>
        <w:t xml:space="preserve">.</w:t>
      </w:r>
    </w:p>
    <w:bookmarkEnd w:id="193"/>
    <w:bookmarkStart w:id="195"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94">
        <w:r>
          <w:rPr>
            <w:rStyle w:val="Hyperlink"/>
          </w:rPr>
          <w:t xml:space="preserve">https://doi.org/10.2105/SMWW.2882.113</w:t>
        </w:r>
      </w:hyperlink>
      <w:r>
        <w:t xml:space="preserve">.</w:t>
      </w:r>
    </w:p>
    <w:bookmarkEnd w:id="195"/>
    <w:bookmarkStart w:id="197"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96">
        <w:r>
          <w:rPr>
            <w:rStyle w:val="Hyperlink"/>
          </w:rPr>
          <w:t xml:space="preserve">https://doi.org/10.1007/s11749-016-0481-7</w:t>
        </w:r>
      </w:hyperlink>
      <w:r>
        <w:t xml:space="preserve">.</w:t>
      </w:r>
    </w:p>
    <w:bookmarkEnd w:id="197"/>
    <w:bookmarkStart w:id="199"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98">
        <w:r>
          <w:rPr>
            <w:rStyle w:val="Hyperlink"/>
          </w:rPr>
          <w:t xml:space="preserve">https://doi.org/10.1201/9780367816377-11</w:t>
        </w:r>
      </w:hyperlink>
      <w:r>
        <w:t xml:space="preserve">.</w:t>
      </w:r>
    </w:p>
    <w:bookmarkEnd w:id="199"/>
    <w:bookmarkStart w:id="201" w:name="ref-BC2019"/>
    <w:p>
      <w:pPr>
        <w:pStyle w:val="Bibliography"/>
      </w:pPr>
      <w:r>
        <w:t xml:space="preserve">British Columbia Ministry of Environment. 2017. “BC Source Drinking Water Quality Guidelines: Guideline Summary.” Victoria, B.C.: Prov. B.C.</w:t>
      </w:r>
      <w:r>
        <w:t xml:space="preserve"> </w:t>
      </w:r>
      <w:hyperlink r:id="rId200">
        <w:r>
          <w:rPr>
            <w:rStyle w:val="Hyperlink"/>
          </w:rPr>
          <w:t xml:space="preserve">https://www2.gov.bc.ca/gov/content/governments/organizational-structure/ministries-organizations/ministries/environment-climate-change</w:t>
        </w:r>
      </w:hyperlink>
      <w:r>
        <w:t xml:space="preserve">.</w:t>
      </w:r>
    </w:p>
    <w:bookmarkEnd w:id="201"/>
    <w:bookmarkStart w:id="202" w:name="ref-CCME2004"/>
    <w:p>
      <w:pPr>
        <w:pStyle w:val="Bibliography"/>
      </w:pPr>
      <w:r>
        <w:t xml:space="preserve">Canadian Council of Ministers of the Environment. 2004. “From source to tap : guidance on the multi-barrier approach to safe drinking water.”</w:t>
      </w:r>
    </w:p>
    <w:bookmarkEnd w:id="202"/>
    <w:bookmarkStart w:id="204" w:name="ref-SoilScience2020"/>
    <w:p>
      <w:pPr>
        <w:pStyle w:val="Bibliography"/>
      </w:pPr>
      <w:r>
        <w:t xml:space="preserve">Canadian Society of Soil Science. 2020. “Soils of Canada.”</w:t>
      </w:r>
      <w:r>
        <w:t xml:space="preserve"> </w:t>
      </w:r>
      <w:hyperlink r:id="rId203">
        <w:r>
          <w:rPr>
            <w:rStyle w:val="Hyperlink"/>
          </w:rPr>
          <w:t xml:space="preserve">https://soilsofcanada.ca</w:t>
        </w:r>
      </w:hyperlink>
      <w:r>
        <w:t xml:space="preserve">.</w:t>
      </w:r>
    </w:p>
    <w:bookmarkEnd w:id="204"/>
    <w:bookmarkStart w:id="206" w:name="ref-CRD"/>
    <w:p>
      <w:pPr>
        <w:pStyle w:val="Bibliography"/>
      </w:pPr>
      <w:r>
        <w:t xml:space="preserve">Capital Regional District. n.d. “Facts and Figures for the Greater Victoria Water Supply Area.” Accessed July 13, 2018.</w:t>
      </w:r>
      <w:r>
        <w:t xml:space="preserve"> </w:t>
      </w:r>
      <w:hyperlink r:id="rId205">
        <w:r>
          <w:rPr>
            <w:rStyle w:val="Hyperlink"/>
          </w:rPr>
          <w:t xml:space="preserve">https://www.crd.bc.ca/service/public-tours/watershed-tours/facts-figures</w:t>
        </w:r>
      </w:hyperlink>
      <w:r>
        <w:t xml:space="preserve">.</w:t>
      </w:r>
    </w:p>
    <w:bookmarkEnd w:id="206"/>
    <w:bookmarkStart w:id="207"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207"/>
    <w:bookmarkStart w:id="209"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208">
        <w:r>
          <w:rPr>
            <w:rStyle w:val="Hyperlink"/>
          </w:rPr>
          <w:t xml:space="preserve">https://doi.org/10.2166/aqua.2008.064</w:t>
        </w:r>
      </w:hyperlink>
      <w:r>
        <w:t xml:space="preserve">.</w:t>
      </w:r>
    </w:p>
    <w:bookmarkEnd w:id="209"/>
    <w:bookmarkStart w:id="211"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210">
        <w:r>
          <w:rPr>
            <w:rStyle w:val="Hyperlink"/>
          </w:rPr>
          <w:t xml:space="preserve">https://doi.org/10.1007/978-94-007-1363-5</w:t>
        </w:r>
      </w:hyperlink>
      <w:r>
        <w:t xml:space="preserve">.</w:t>
      </w:r>
    </w:p>
    <w:bookmarkEnd w:id="211"/>
    <w:bookmarkStart w:id="213" w:name="ref-CapitalRegionDistrict2017"/>
    <w:p>
      <w:pPr>
        <w:pStyle w:val="Bibliography"/>
      </w:pPr>
      <w:r>
        <w:t xml:space="preserve">CRD. 2017. “Regional Water Supply 2017 Strategic Plan.” Victoria, B.C.: Capital Region District, Integrated Water Services.</w:t>
      </w:r>
      <w:r>
        <w:t xml:space="preserve"> </w:t>
      </w:r>
      <w:hyperlink r:id="rId212">
        <w:r>
          <w:rPr>
            <w:rStyle w:val="Hyperlink"/>
          </w:rPr>
          <w:t xml:space="preserve">https://www.crd.bc.ca/project/past-capital-projects-and-initiatives/water-supply-plan</w:t>
        </w:r>
      </w:hyperlink>
      <w:r>
        <w:t xml:space="preserve">.</w:t>
      </w:r>
    </w:p>
    <w:bookmarkEnd w:id="213"/>
    <w:bookmarkStart w:id="215"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214">
        <w:r>
          <w:rPr>
            <w:rStyle w:val="Hyperlink"/>
          </w:rPr>
          <w:t xml:space="preserve">https://doi.org/IWSS-297445977-5079</w:t>
        </w:r>
      </w:hyperlink>
      <w:r>
        <w:t xml:space="preserve">.</w:t>
      </w:r>
    </w:p>
    <w:bookmarkEnd w:id="215"/>
    <w:bookmarkStart w:id="217"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216">
        <w:r>
          <w:rPr>
            <w:rStyle w:val="Hyperlink"/>
          </w:rPr>
          <w:t xml:space="preserve">https://doi.org/10.1139/cjfas-2014-0400</w:t>
        </w:r>
      </w:hyperlink>
      <w:r>
        <w:t xml:space="preserve">.</w:t>
      </w:r>
    </w:p>
    <w:bookmarkEnd w:id="217"/>
    <w:bookmarkStart w:id="219"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18">
        <w:r>
          <w:rPr>
            <w:rStyle w:val="Hyperlink"/>
          </w:rPr>
          <w:t xml:space="preserve">https://doi.org/10.1016/B978-0-12-382092-1.00019-1</w:t>
        </w:r>
      </w:hyperlink>
      <w:r>
        <w:t xml:space="preserve">.</w:t>
      </w:r>
    </w:p>
    <w:bookmarkEnd w:id="219"/>
    <w:bookmarkStart w:id="221"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20">
        <w:r>
          <w:rPr>
            <w:rStyle w:val="Hyperlink"/>
          </w:rPr>
          <w:t xml:space="preserve">https://doi.org/10.1016/j.watres.2016.08.031</w:t>
        </w:r>
      </w:hyperlink>
      <w:r>
        <w:t xml:space="preserve">.</w:t>
      </w:r>
    </w:p>
    <w:bookmarkEnd w:id="221"/>
    <w:bookmarkStart w:id="223" w:name="ref-Diehl2007"/>
    <w:p>
      <w:pPr>
        <w:pStyle w:val="Bibliography"/>
      </w:pPr>
      <w:r>
        <w:t xml:space="preserve">Diehl, Timothy H. 2007. “A Modified Siphon Sampler for Shallow Water.” U.S. Department of the Interior, U.S. Geological Survey.</w:t>
      </w:r>
      <w:r>
        <w:t xml:space="preserve"> </w:t>
      </w:r>
      <w:hyperlink r:id="rId222">
        <w:r>
          <w:rPr>
            <w:rStyle w:val="Hyperlink"/>
          </w:rPr>
          <w:t xml:space="preserve">https://pubs.er.usgs.gov/publication/sir20075282</w:t>
        </w:r>
      </w:hyperlink>
      <w:r>
        <w:t xml:space="preserve">.</w:t>
      </w:r>
    </w:p>
    <w:bookmarkEnd w:id="223"/>
    <w:bookmarkStart w:id="225"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24">
        <w:r>
          <w:rPr>
            <w:rStyle w:val="Hyperlink"/>
          </w:rPr>
          <w:t xml:space="preserve">http://scholar.google.com/scholar?hl=en{\&amp;}btnG=Search{\&amp;}q=intitle:Running+Pure{\#}1</w:t>
        </w:r>
      </w:hyperlink>
      <w:r>
        <w:t xml:space="preserve">.</w:t>
      </w:r>
    </w:p>
    <w:bookmarkEnd w:id="225"/>
    <w:bookmarkStart w:id="227"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26">
        <w:r>
          <w:rPr>
            <w:rStyle w:val="Hyperlink"/>
          </w:rPr>
          <w:t xml:space="preserve">https://doi.org/10.1016/j.watres.2010.08.051</w:t>
        </w:r>
      </w:hyperlink>
      <w:r>
        <w:t xml:space="preserve">.</w:t>
      </w:r>
    </w:p>
    <w:bookmarkEnd w:id="227"/>
    <w:bookmarkStart w:id="228" w:name="ref-Epps1994"/>
    <w:p>
      <w:pPr>
        <w:pStyle w:val="Bibliography"/>
      </w:pPr>
      <w:r>
        <w:t xml:space="preserve">Epps, Deborah Norine. 1994. “Factors Affecting Disinfection By-Products from Surface Source Waters on Vancouver Island.” Master of Science, University of Victoria.</w:t>
      </w:r>
    </w:p>
    <w:bookmarkEnd w:id="228"/>
    <w:bookmarkStart w:id="230" w:name="ref-Evans1999"/>
    <w:p>
      <w:pPr>
        <w:pStyle w:val="Bibliography"/>
      </w:pPr>
      <w:r>
        <w:t xml:space="preserve">Evans, C., T. D. Davies, and P. S. Murdoch. 1999. “Component flow processes at four streams in the Catskill Mountains, New York, analysed using episodic concentration/discharge relationship.”</w:t>
      </w:r>
      <w:r>
        <w:t xml:space="preserve"> </w:t>
      </w:r>
      <w:r>
        <w:rPr>
          <w:i/>
        </w:rPr>
        <w:t xml:space="preserve">Hydrological Processes</w:t>
      </w:r>
      <w:r>
        <w:t xml:space="preserve"> </w:t>
      </w:r>
      <w:r>
        <w:t xml:space="preserve">13 (4): 563–75.</w:t>
      </w:r>
      <w:r>
        <w:t xml:space="preserve"> </w:t>
      </w:r>
      <w:hyperlink r:id="rId229">
        <w:r>
          <w:rPr>
            <w:rStyle w:val="Hyperlink"/>
          </w:rPr>
          <w:t xml:space="preserve">https://doi.org/10.1002/(SICI)1099-1085(199903)13:4&lt;563::AID-HYP711&gt;3.0.CO;2-N</w:t>
        </w:r>
      </w:hyperlink>
      <w:r>
        <w:t xml:space="preserve">.</w:t>
      </w:r>
    </w:p>
    <w:bookmarkEnd w:id="230"/>
    <w:bookmarkStart w:id="232" w:name="ref-Evans1998"/>
    <w:p>
      <w:pPr>
        <w:pStyle w:val="Bibliography"/>
      </w:pPr>
      <w:r>
        <w:t xml:space="preserve">Evans, Christopher, and Trevor D. Davies. 1998. “Causes of concentration/discharge hysteresis and its potential as a tool for analysis of episode hydrochemistry.”</w:t>
      </w:r>
      <w:r>
        <w:t xml:space="preserve"> </w:t>
      </w:r>
      <w:r>
        <w:rPr>
          <w:i/>
        </w:rPr>
        <w:t xml:space="preserve">Water Resources Research</w:t>
      </w:r>
      <w:r>
        <w:t xml:space="preserve"> </w:t>
      </w:r>
      <w:r>
        <w:t xml:space="preserve">34 (1): 129–37.</w:t>
      </w:r>
      <w:r>
        <w:t xml:space="preserve"> </w:t>
      </w:r>
      <w:hyperlink r:id="rId231">
        <w:r>
          <w:rPr>
            <w:rStyle w:val="Hyperlink"/>
          </w:rPr>
          <w:t xml:space="preserve">https://doi.org/10.1029/97WR01881</w:t>
        </w:r>
      </w:hyperlink>
      <w:r>
        <w:t xml:space="preserve">.</w:t>
      </w:r>
    </w:p>
    <w:bookmarkEnd w:id="232"/>
    <w:bookmarkStart w:id="234" w:name="ref-SoilsCanada2018"/>
    <w:p>
      <w:pPr>
        <w:pStyle w:val="Bibliography"/>
      </w:pPr>
      <w:r>
        <w:t xml:space="preserve">Government of Canada. 2018. “Soils of British Columbia.”</w:t>
      </w:r>
      <w:r>
        <w:t xml:space="preserve"> </w:t>
      </w:r>
      <w:hyperlink r:id="rId233">
        <w:r>
          <w:rPr>
            <w:rStyle w:val="Hyperlink"/>
          </w:rPr>
          <w:t xml:space="preserve">http://sis.agr.gc.ca/cansis/soils/bc/soils.html</w:t>
        </w:r>
      </w:hyperlink>
      <w:r>
        <w:t xml:space="preserve">.</w:t>
      </w:r>
    </w:p>
    <w:bookmarkEnd w:id="234"/>
    <w:bookmarkStart w:id="236"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35">
        <w:r>
          <w:rPr>
            <w:rStyle w:val="Hyperlink"/>
          </w:rPr>
          <w:t xml:space="preserve">https://doi.org/10.3133/fs06700</w:t>
        </w:r>
      </w:hyperlink>
      <w:r>
        <w:t xml:space="preserve">.</w:t>
      </w:r>
    </w:p>
    <w:bookmarkEnd w:id="236"/>
    <w:bookmarkStart w:id="237" w:name="ref-Groome2003"/>
    <w:p>
      <w:pPr>
        <w:pStyle w:val="Bibliography"/>
      </w:pPr>
      <w:r>
        <w:t xml:space="preserve">Groome, Wesley G, Derek J Thorkelson, Richard M Friedman, James K Mortensen, Daniel D Marshall, and Paul W. Layer. 2003. “Magmatic and tectonic history of the Leech River Complex, Vancouver Island, British Columbia: Evidence for ridge-trench intersection and accretion of the Crescent Terrane.”</w:t>
      </w:r>
      <w:r>
        <w:t xml:space="preserve"> </w:t>
      </w:r>
      <w:r>
        <w:rPr>
          <w:i/>
        </w:rPr>
        <w:t xml:space="preserve">Geological Society of America Special Papers</w:t>
      </w:r>
      <w:r>
        <w:t xml:space="preserve"> </w:t>
      </w:r>
      <w:r>
        <w:t xml:space="preserve">371: 327–53.</w:t>
      </w:r>
    </w:p>
    <w:bookmarkEnd w:id="237"/>
    <w:bookmarkStart w:id="239"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38">
        <w:r>
          <w:rPr>
            <w:rStyle w:val="Hyperlink"/>
          </w:rPr>
          <w:t xml:space="preserve">https://doi.org/10.13031/2013.15662</w:t>
        </w:r>
      </w:hyperlink>
      <w:r>
        <w:t xml:space="preserve">.</w:t>
      </w:r>
    </w:p>
    <w:bookmarkEnd w:id="239"/>
    <w:bookmarkStart w:id="241" w:name="ref-HealthCanada2019"/>
    <w:p>
      <w:pPr>
        <w:pStyle w:val="Bibliography"/>
      </w:pPr>
      <w:r>
        <w:t xml:space="preserve">Health Canada. 2019a. “Guidance on Natural Organic Matter in Drinking Water.”</w:t>
      </w:r>
      <w:r>
        <w:t xml:space="preserve"> </w:t>
      </w:r>
      <w:hyperlink r:id="rId240">
        <w:r>
          <w:rPr>
            <w:rStyle w:val="Hyperlink"/>
          </w:rPr>
          <w:t xml:space="preserve">https://www.canada.ca/content/dam/hc-sc/documents/programs/consultation-organic-matter-drinking-water/NOM20190129-eng.pdf</w:t>
        </w:r>
      </w:hyperlink>
      <w:r>
        <w:t xml:space="preserve">.</w:t>
      </w:r>
    </w:p>
    <w:bookmarkEnd w:id="241"/>
    <w:bookmarkStart w:id="243"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42">
        <w:r>
          <w:rPr>
            <w:rStyle w:val="Hyperlink"/>
          </w:rPr>
          <w:t xml:space="preserve">https://www.canada.ca/content/dam/hc-sc/migration/hc-sc/ewh-semt/alt{\_}formats/pdf/pubs/water-eau/sum{\_}guide-res{\_}recom/summary-table-August-15-2019-eng.pdf</w:t>
        </w:r>
      </w:hyperlink>
      <w:r>
        <w:t xml:space="preserve">.</w:t>
      </w:r>
    </w:p>
    <w:bookmarkEnd w:id="243"/>
    <w:bookmarkStart w:id="245" w:name="ref-HealthCanada2006"/>
    <w:p>
      <w:pPr>
        <w:pStyle w:val="Bibliography"/>
      </w:pPr>
      <w:r>
        <w:t xml:space="preserve">HealthCanada. 2006. “Drinking Water Chlorination.”</w:t>
      </w:r>
      <w:r>
        <w:t xml:space="preserve"> </w:t>
      </w:r>
      <w:hyperlink r:id="rId244">
        <w:r>
          <w:rPr>
            <w:rStyle w:val="Hyperlink"/>
          </w:rPr>
          <w:t xml:space="preserve">https://www.canada.ca/en/health-canada/services/healthy-living/your-health/environment/drinking-water-chlorination.html</w:t>
        </w:r>
      </w:hyperlink>
      <w:r>
        <w:t xml:space="preserve">.</w:t>
      </w:r>
    </w:p>
    <w:bookmarkEnd w:id="245"/>
    <w:bookmarkStart w:id="247" w:name="ref-HealthLinkBC2018"/>
    <w:p>
      <w:pPr>
        <w:pStyle w:val="Bibliography"/>
      </w:pPr>
      <w:r>
        <w:t xml:space="preserve">HealthLinkBC. 2018. “Drinking Water Chlorination Facts.”</w:t>
      </w:r>
      <w:r>
        <w:t xml:space="preserve"> </w:t>
      </w:r>
      <w:hyperlink r:id="rId246">
        <w:r>
          <w:rPr>
            <w:rStyle w:val="Hyperlink"/>
          </w:rPr>
          <w:t xml:space="preserve">https://www.healthlinkbc.ca/healthlinkbc-files/drinking-water-chlorination</w:t>
        </w:r>
      </w:hyperlink>
      <w:r>
        <w:t xml:space="preserve">.</w:t>
      </w:r>
    </w:p>
    <w:bookmarkEnd w:id="247"/>
    <w:bookmarkStart w:id="249"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48">
        <w:r>
          <w:rPr>
            <w:rStyle w:val="Hyperlink"/>
          </w:rPr>
          <w:t xml:space="preserve">https://www.jstor.org/stable/40058211</w:t>
        </w:r>
      </w:hyperlink>
      <w:r>
        <w:t xml:space="preserve">.</w:t>
      </w:r>
    </w:p>
    <w:bookmarkEnd w:id="249"/>
    <w:bookmarkStart w:id="251"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50">
        <w:r>
          <w:rPr>
            <w:rStyle w:val="Hyperlink"/>
          </w:rPr>
          <w:t xml:space="preserve">https://doi.org/10.1029/2005JG000082</w:t>
        </w:r>
      </w:hyperlink>
      <w:r>
        <w:t xml:space="preserve">.</w:t>
      </w:r>
    </w:p>
    <w:bookmarkEnd w:id="251"/>
    <w:bookmarkStart w:id="253"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52">
        <w:r>
          <w:rPr>
            <w:rStyle w:val="Hyperlink"/>
          </w:rPr>
          <w:t xml:space="preserve">https://doi.org/10.1002/j.1551-8833.1995.tb06302.x</w:t>
        </w:r>
      </w:hyperlink>
      <w:r>
        <w:t xml:space="preserve">.</w:t>
      </w:r>
    </w:p>
    <w:bookmarkEnd w:id="253"/>
    <w:bookmarkStart w:id="255"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54">
        <w:r>
          <w:rPr>
            <w:rStyle w:val="Hyperlink"/>
          </w:rPr>
          <w:t xml:space="preserve">https://doi.org/doi:10.1046/j.1365-2427.1997.d01-539.x</w:t>
        </w:r>
      </w:hyperlink>
      <w:r>
        <w:t xml:space="preserve">.</w:t>
      </w:r>
    </w:p>
    <w:bookmarkEnd w:id="255"/>
    <w:bookmarkStart w:id="257"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56">
        <w:r>
          <w:rPr>
            <w:rStyle w:val="Hyperlink"/>
          </w:rPr>
          <w:t xml:space="preserve">https://www.jstor.org/stable/41311011</w:t>
        </w:r>
      </w:hyperlink>
      <w:r>
        <w:t xml:space="preserve">.</w:t>
      </w:r>
    </w:p>
    <w:bookmarkEnd w:id="257"/>
    <w:bookmarkStart w:id="259"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58">
        <w:r>
          <w:rPr>
            <w:rStyle w:val="Hyperlink"/>
          </w:rPr>
          <w:t xml:space="preserve">https://doi.org/10.1002/j.1551-8833.2002.tb10250.x</w:t>
        </w:r>
      </w:hyperlink>
      <w:r>
        <w:t xml:space="preserve">.</w:t>
      </w:r>
    </w:p>
    <w:bookmarkEnd w:id="259"/>
    <w:bookmarkStart w:id="261"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60">
        <w:r>
          <w:rPr>
            <w:rStyle w:val="Hyperlink"/>
          </w:rPr>
          <w:t xml:space="preserve">https://doi.org/10.1029/2005WR004362</w:t>
        </w:r>
      </w:hyperlink>
      <w:r>
        <w:t xml:space="preserve">.</w:t>
      </w:r>
    </w:p>
    <w:bookmarkEnd w:id="261"/>
    <w:bookmarkStart w:id="263" w:name="ref-Lambert2014"/>
    <w:p>
      <w:pPr>
        <w:pStyle w:val="Bibliography"/>
      </w:pPr>
      <w:r>
        <w:t xml:space="preserve">Lambert, T., A. C. Pierson-Wickmann, G. Gruau, A. Jaffrezic, P. Petitjean, J. N. Thibault, and L. Jeanneau. 2014. “DOC sources and DOC transport pathways in a small headwater catchment as revealed by carbon isotope fluctuation during storm events.”</w:t>
      </w:r>
      <w:r>
        <w:t xml:space="preserve"> </w:t>
      </w:r>
      <w:r>
        <w:rPr>
          <w:i/>
        </w:rPr>
        <w:t xml:space="preserve">Biogeosciences</w:t>
      </w:r>
      <w:r>
        <w:t xml:space="preserve"> </w:t>
      </w:r>
      <w:r>
        <w:t xml:space="preserve">11 (11): 3043–56.</w:t>
      </w:r>
      <w:r>
        <w:t xml:space="preserve"> </w:t>
      </w:r>
      <w:hyperlink r:id="rId262">
        <w:r>
          <w:rPr>
            <w:rStyle w:val="Hyperlink"/>
          </w:rPr>
          <w:t xml:space="preserve">https://doi.org/10.5194/bg-11-3043-2014</w:t>
        </w:r>
      </w:hyperlink>
      <w:r>
        <w:t xml:space="preserve">.</w:t>
      </w:r>
    </w:p>
    <w:bookmarkEnd w:id="263"/>
    <w:bookmarkStart w:id="265"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64">
        <w:r>
          <w:rPr>
            <w:rStyle w:val="Hyperlink"/>
          </w:rPr>
          <w:t xml:space="preserve">https://archive.org/details/metaltransportre00lazeuoft/mode/2up</w:t>
        </w:r>
      </w:hyperlink>
      <w:r>
        <w:t xml:space="preserve">.</w:t>
      </w:r>
    </w:p>
    <w:bookmarkEnd w:id="265"/>
    <w:bookmarkStart w:id="267"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66">
        <w:r>
          <w:rPr>
            <w:rStyle w:val="Hyperlink"/>
          </w:rPr>
          <w:t xml:space="preserve">https://doi.org/10.1016/j.jhazmat.2014.02.009</w:t>
        </w:r>
      </w:hyperlink>
      <w:r>
        <w:t xml:space="preserve">.</w:t>
      </w:r>
    </w:p>
    <w:bookmarkEnd w:id="267"/>
    <w:bookmarkStart w:id="269" w:name="ref-Liaw2018"/>
    <w:p>
      <w:pPr>
        <w:pStyle w:val="Bibliography"/>
      </w:pPr>
      <w:r>
        <w:t xml:space="preserve">Liaw, Andy, and Matthew Wiener. 2018. “randomForest: Breiman and Cutler’s Random Forests for Classification and Regression.” CRAN.</w:t>
      </w:r>
      <w:r>
        <w:t xml:space="preserve"> </w:t>
      </w:r>
      <w:hyperlink r:id="rId268">
        <w:r>
          <w:rPr>
            <w:rStyle w:val="Hyperlink"/>
          </w:rPr>
          <w:t xml:space="preserve">https://doi.org/10.1023/A:1010933404324</w:t>
        </w:r>
      </w:hyperlink>
      <w:r>
        <w:t xml:space="preserve">.</w:t>
      </w:r>
    </w:p>
    <w:bookmarkEnd w:id="269"/>
    <w:bookmarkStart w:id="271"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70">
        <w:r>
          <w:rPr>
            <w:rStyle w:val="Hyperlink"/>
          </w:rPr>
          <w:t xml:space="preserve">https://doi.org/10.1002/rra.1504</w:t>
        </w:r>
      </w:hyperlink>
      <w:r>
        <w:t xml:space="preserve">.</w:t>
      </w:r>
    </w:p>
    <w:bookmarkEnd w:id="271"/>
    <w:bookmarkStart w:id="273"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72">
        <w:r>
          <w:rPr>
            <w:rStyle w:val="Hyperlink"/>
          </w:rPr>
          <w:t xml:space="preserve">https://doi.org/10.1016/j.chemosphere.2011.01.018</w:t>
        </w:r>
      </w:hyperlink>
      <w:r>
        <w:t xml:space="preserve">.</w:t>
      </w:r>
    </w:p>
    <w:bookmarkEnd w:id="273"/>
    <w:bookmarkStart w:id="275"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74">
        <w:r>
          <w:rPr>
            <w:rStyle w:val="Hyperlink"/>
          </w:rPr>
          <w:t xml:space="preserve">https://doi.org/10.1016/j.cis.2010.06.007</w:t>
        </w:r>
      </w:hyperlink>
      <w:r>
        <w:t xml:space="preserve">.</w:t>
      </w:r>
    </w:p>
    <w:bookmarkEnd w:id="275"/>
    <w:bookmarkStart w:id="277"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76">
        <w:r>
          <w:rPr>
            <w:rStyle w:val="Hyperlink"/>
          </w:rPr>
          <w:t xml:space="preserve">https://doi.org/10.1007/s10533-018-0482-6</w:t>
        </w:r>
      </w:hyperlink>
      <w:r>
        <w:t xml:space="preserve">.</w:t>
      </w:r>
    </w:p>
    <w:bookmarkEnd w:id="277"/>
    <w:bookmarkStart w:id="279"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78">
        <w:r>
          <w:rPr>
            <w:rStyle w:val="Hyperlink"/>
          </w:rPr>
          <w:t xml:space="preserve">https://www.jstor.org/stable/1937326</w:t>
        </w:r>
      </w:hyperlink>
      <w:r>
        <w:t xml:space="preserve">.</w:t>
      </w:r>
    </w:p>
    <w:bookmarkEnd w:id="279"/>
    <w:bookmarkStart w:id="281"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80">
        <w:r>
          <w:rPr>
            <w:rStyle w:val="Hyperlink"/>
          </w:rPr>
          <w:t xml:space="preserve">https://doi.org/10.14288/1.0387350</w:t>
        </w:r>
      </w:hyperlink>
      <w:r>
        <w:t xml:space="preserve">.</w:t>
      </w:r>
    </w:p>
    <w:bookmarkEnd w:id="281"/>
    <w:bookmarkStart w:id="283"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82">
        <w:r>
          <w:rPr>
            <w:rStyle w:val="Hyperlink"/>
          </w:rPr>
          <w:t xml:space="preserve">https://doi.org/10.1007/s10533-015-0103-6</w:t>
        </w:r>
      </w:hyperlink>
      <w:r>
        <w:t xml:space="preserve">.</w:t>
      </w:r>
    </w:p>
    <w:bookmarkEnd w:id="283"/>
    <w:bookmarkStart w:id="285" w:name="ref-Musolff2015"/>
    <w:p>
      <w:pPr>
        <w:pStyle w:val="Bibliography"/>
      </w:pPr>
      <w:r>
        <w:t xml:space="preserve">Musolff, Andreas, Christian Schmidt, Benny Selle, and Jan H. Fleckenstein. 2015. “Catchment controls on solute export.”</w:t>
      </w:r>
      <w:r>
        <w:t xml:space="preserve"> </w:t>
      </w:r>
      <w:r>
        <w:rPr>
          <w:i/>
        </w:rPr>
        <w:t xml:space="preserve">Advances in Water Resources</w:t>
      </w:r>
      <w:r>
        <w:t xml:space="preserve"> </w:t>
      </w:r>
      <w:r>
        <w:t xml:space="preserve">86: 133–46.</w:t>
      </w:r>
      <w:r>
        <w:t xml:space="preserve"> </w:t>
      </w:r>
      <w:hyperlink r:id="rId284">
        <w:r>
          <w:rPr>
            <w:rStyle w:val="Hyperlink"/>
          </w:rPr>
          <w:t xml:space="preserve">https://doi.org/10.1016/j.advwatres.2015.09.026</w:t>
        </w:r>
      </w:hyperlink>
      <w:r>
        <w:t xml:space="preserve">.</w:t>
      </w:r>
    </w:p>
    <w:bookmarkEnd w:id="285"/>
    <w:bookmarkStart w:id="287"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86">
        <w:r>
          <w:rPr>
            <w:rStyle w:val="Hyperlink"/>
          </w:rPr>
          <w:t xml:space="preserve">http://hdl.handle.net/1885/40940</w:t>
        </w:r>
      </w:hyperlink>
      <w:r>
        <w:t xml:space="preserve">.</w:t>
      </w:r>
    </w:p>
    <w:bookmarkEnd w:id="287"/>
    <w:bookmarkStart w:id="28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88">
        <w:r>
          <w:rPr>
            <w:rStyle w:val="Hyperlink"/>
          </w:rPr>
          <w:t xml:space="preserve">https://doi.org/10.5194/bg-10-2315-2013</w:t>
        </w:r>
      </w:hyperlink>
      <w:r>
        <w:t xml:space="preserve">.</w:t>
      </w:r>
    </w:p>
    <w:bookmarkEnd w:id="289"/>
    <w:bookmarkStart w:id="291"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90">
        <w:r>
          <w:rPr>
            <w:rStyle w:val="Hyperlink"/>
          </w:rPr>
          <w:t xml:space="preserve">http://www.jstor.com/stable/41295152</w:t>
        </w:r>
      </w:hyperlink>
      <w:r>
        <w:t xml:space="preserve">.</w:t>
      </w:r>
    </w:p>
    <w:bookmarkEnd w:id="291"/>
    <w:bookmarkStart w:id="293"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92">
        <w:r>
          <w:rPr>
            <w:rStyle w:val="Hyperlink"/>
          </w:rPr>
          <w:t xml:space="preserve">https://doi.org/10.1007/s11270-013-1651-9</w:t>
        </w:r>
      </w:hyperlink>
      <w:r>
        <w:t xml:space="preserve">.</w:t>
      </w:r>
    </w:p>
    <w:bookmarkEnd w:id="293"/>
    <w:bookmarkStart w:id="295"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94">
        <w:r>
          <w:rPr>
            <w:rStyle w:val="Hyperlink"/>
          </w:rPr>
          <w:t xml:space="preserve">https://doi.org/10.1016/S0003-2670(96)00412-6</w:t>
        </w:r>
      </w:hyperlink>
      <w:r>
        <w:t xml:space="preserve">.</w:t>
      </w:r>
    </w:p>
    <w:bookmarkEnd w:id="295"/>
    <w:bookmarkStart w:id="297"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96">
        <w:r>
          <w:rPr>
            <w:rStyle w:val="Hyperlink"/>
          </w:rPr>
          <w:t xml:space="preserve">https://www.for.gov.bc.ca/hfd/pubs/docs/lmh/Lmh66/LMH66{\_}volume2of2.pdf</w:t>
        </w:r>
      </w:hyperlink>
      <w:r>
        <w:t xml:space="preserve">.</w:t>
      </w:r>
    </w:p>
    <w:bookmarkEnd w:id="297"/>
    <w:bookmarkStart w:id="298"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98"/>
    <w:bookmarkStart w:id="300"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99">
        <w:r>
          <w:rPr>
            <w:rStyle w:val="Hyperlink"/>
          </w:rPr>
          <w:t xml:space="preserve">https://doi.org/10.1007/sl0533-010-9416-7</w:t>
        </w:r>
      </w:hyperlink>
      <w:r>
        <w:t xml:space="preserve">.</w:t>
      </w:r>
    </w:p>
    <w:bookmarkEnd w:id="300"/>
    <w:bookmarkStart w:id="302"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301">
        <w:r>
          <w:rPr>
            <w:rStyle w:val="Hyperlink"/>
          </w:rPr>
          <w:t xml:space="preserve">https://www.jstor.org/stable/24702986</w:t>
        </w:r>
      </w:hyperlink>
      <w:r>
        <w:t xml:space="preserve">.</w:t>
      </w:r>
    </w:p>
    <w:bookmarkEnd w:id="302"/>
    <w:bookmarkStart w:id="304"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303">
        <w:r>
          <w:rPr>
            <w:rStyle w:val="Hyperlink"/>
          </w:rPr>
          <w:t xml:space="preserve">https://doi.org/10.1016/j.scitotenv.2016.09.113</w:t>
        </w:r>
      </w:hyperlink>
      <w:r>
        <w:t xml:space="preserve">.</w:t>
      </w:r>
    </w:p>
    <w:bookmarkEnd w:id="304"/>
    <w:bookmarkStart w:id="306"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305">
        <w:r>
          <w:rPr>
            <w:rStyle w:val="Hyperlink"/>
          </w:rPr>
          <w:t xml:space="preserve">https://doi.org/10.1111/j.1365-2427.2011.02613.x</w:t>
        </w:r>
      </w:hyperlink>
      <w:r>
        <w:t xml:space="preserve">.</w:t>
      </w:r>
    </w:p>
    <w:bookmarkEnd w:id="306"/>
    <w:bookmarkStart w:id="308"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307">
        <w:r>
          <w:rPr>
            <w:rStyle w:val="Hyperlink"/>
          </w:rPr>
          <w:t xml:space="preserve">https://doi.org/10.1186/1471-2105-9-307</w:t>
        </w:r>
      </w:hyperlink>
      <w:r>
        <w:t xml:space="preserve">.</w:t>
      </w:r>
    </w:p>
    <w:bookmarkEnd w:id="308"/>
    <w:bookmarkStart w:id="310"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309">
        <w:r>
          <w:rPr>
            <w:rStyle w:val="Hyperlink"/>
          </w:rPr>
          <w:t xml:space="preserve">https://doi.org/10.1037/a0016973</w:t>
        </w:r>
      </w:hyperlink>
      <w:r>
        <w:t xml:space="preserve">.</w:t>
      </w:r>
    </w:p>
    <w:bookmarkEnd w:id="310"/>
    <w:bookmarkStart w:id="312"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311">
        <w:r>
          <w:rPr>
            <w:rStyle w:val="Hyperlink"/>
          </w:rPr>
          <w:t xml:space="preserve">https://doi.org/10.1016/j.jenvman.2007.03.001</w:t>
        </w:r>
      </w:hyperlink>
      <w:r>
        <w:t xml:space="preserve">.</w:t>
      </w:r>
    </w:p>
    <w:bookmarkEnd w:id="312"/>
    <w:bookmarkStart w:id="314"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313">
        <w:r>
          <w:rPr>
            <w:rStyle w:val="Hyperlink"/>
          </w:rPr>
          <w:t xml:space="preserve">https://doi.org/10.3390</w:t>
        </w:r>
      </w:hyperlink>
      <w:r>
        <w:t xml:space="preserve">.</w:t>
      </w:r>
    </w:p>
    <w:bookmarkEnd w:id="314"/>
    <w:bookmarkStart w:id="315"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315"/>
    <w:bookmarkStart w:id="316"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316"/>
    <w:bookmarkStart w:id="318" w:name="ref-Vaughan2019"/>
    <w:p>
      <w:pPr>
        <w:pStyle w:val="Bibliography"/>
      </w:pPr>
      <w:r>
        <w:t xml:space="preserve">Vaughan, M. C. H., W. B. Bowden, J. B. Shanley, A. Vermilyea, and A. W. Schroth. 2019. “Shining light on the storm: in-stream optics reveal hysteresis of dissolved organic matter character.”</w:t>
      </w:r>
      <w:r>
        <w:t xml:space="preserve"> </w:t>
      </w:r>
      <w:r>
        <w:rPr>
          <w:i/>
        </w:rPr>
        <w:t xml:space="preserve">Biogeochemistry</w:t>
      </w:r>
      <w:r>
        <w:t xml:space="preserve"> </w:t>
      </w:r>
      <w:r>
        <w:t xml:space="preserve">143 (3): 275–91.</w:t>
      </w:r>
      <w:r>
        <w:t xml:space="preserve"> </w:t>
      </w:r>
      <w:hyperlink r:id="rId317">
        <w:r>
          <w:rPr>
            <w:rStyle w:val="Hyperlink"/>
          </w:rPr>
          <w:t xml:space="preserve">https://doi.org/10.1007/s10533-019-00561-w</w:t>
        </w:r>
      </w:hyperlink>
      <w:r>
        <w:t xml:space="preserve">.</w:t>
      </w:r>
    </w:p>
    <w:bookmarkEnd w:id="318"/>
    <w:bookmarkStart w:id="320"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319">
        <w:r>
          <w:rPr>
            <w:rStyle w:val="Hyperlink"/>
          </w:rPr>
          <w:t xml:space="preserve">https://doi.org/10.1007/s10533-008-9207-6</w:t>
        </w:r>
      </w:hyperlink>
      <w:r>
        <w:t xml:space="preserve">.</w:t>
      </w:r>
    </w:p>
    <w:bookmarkEnd w:id="320"/>
    <w:bookmarkStart w:id="322"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321">
        <w:r>
          <w:rPr>
            <w:rStyle w:val="Hyperlink"/>
          </w:rPr>
          <w:t xml:space="preserve">https://doi.org/10.1021/es030360x</w:t>
        </w:r>
      </w:hyperlink>
      <w:r>
        <w:t xml:space="preserve">.</w:t>
      </w:r>
    </w:p>
    <w:bookmarkEnd w:id="322"/>
    <w:bookmarkStart w:id="324"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323">
        <w:r>
          <w:rPr>
            <w:rStyle w:val="Hyperlink"/>
          </w:rPr>
          <w:t xml:space="preserve">https://doi.org/10.1007/s11356-015-4078-6</w:t>
        </w:r>
      </w:hyperlink>
      <w:r>
        <w:t xml:space="preserve">.</w:t>
      </w:r>
    </w:p>
    <w:bookmarkEnd w:id="324"/>
    <w:bookmarkStart w:id="326"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325">
        <w:r>
          <w:rPr>
            <w:rStyle w:val="Hyperlink"/>
          </w:rPr>
          <w:t xml:space="preserve">https://doi.org/10.1029/2018GL080005</w:t>
        </w:r>
      </w:hyperlink>
      <w:r>
        <w:t xml:space="preserve">.</w:t>
      </w:r>
    </w:p>
    <w:bookmarkEnd w:id="326"/>
    <w:bookmarkEnd w:id="327"/>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6">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45" Target="media/rId145.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79" Target="media/rId179.png" /><Relationship Type="http://schemas.openxmlformats.org/officeDocument/2006/relationships/image" Id="rId164" Target="media/rId164.png" /><Relationship Type="http://schemas.openxmlformats.org/officeDocument/2006/relationships/image" Id="rId163" Target="media/rId163.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59" Target="media/rId159.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69" Target="media/rId169.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55" Target="media/rId155.png" /><Relationship Type="http://schemas.openxmlformats.org/officeDocument/2006/relationships/image" Id="rId154" Target="media/rId154.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53" Target="media/rId15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48" Target="media/rId148.png" /><Relationship Type="http://schemas.openxmlformats.org/officeDocument/2006/relationships/image" Id="rId120" Target="media/rId120.png" /><Relationship Type="http://schemas.openxmlformats.org/officeDocument/2006/relationships/image" Id="rId152" Target="media/rId152.png" /><Relationship Type="http://schemas.openxmlformats.org/officeDocument/2006/relationships/image" Id="rId151" Target="media/rId151.png" /><Relationship Type="http://schemas.openxmlformats.org/officeDocument/2006/relationships/hyperlink" Id="rId286" Target="http://hdl.handle.net/1885/40940" TargetMode="External" /><Relationship Type="http://schemas.openxmlformats.org/officeDocument/2006/relationships/hyperlink" Id="rId224" Target="http://scholar.google.com/scholar?hl=en%7B\&amp;%7DbtnG=Search%7B\&amp;%7Dq=intitle:Running+Pure%7B\#%7D1" TargetMode="External" /><Relationship Type="http://schemas.openxmlformats.org/officeDocument/2006/relationships/hyperlink" Id="rId233" Target="http://sis.agr.gc.ca/cansis/soils/bc/soils.html" TargetMode="External" /><Relationship Type="http://schemas.openxmlformats.org/officeDocument/2006/relationships/hyperlink" Id="rId290" Target="http://www.jstor.com/stable/41295152" TargetMode="External" /><Relationship Type="http://schemas.openxmlformats.org/officeDocument/2006/relationships/hyperlink" Id="rId192" Target="http://www.standardmethods.org/" TargetMode="External" /><Relationship Type="http://schemas.openxmlformats.org/officeDocument/2006/relationships/hyperlink" Id="rId264" Target="https://archive.org/details/metaltransportre00lazeuoft/mode/2up" TargetMode="External" /><Relationship Type="http://schemas.openxmlformats.org/officeDocument/2006/relationships/hyperlink" Id="rId229" Target="https://doi.org/10.1002/(SICI)1099-1085(199903)13:4%3C563::AID-HYP711%3E3.0.CO;2-N" TargetMode="External" /><Relationship Type="http://schemas.openxmlformats.org/officeDocument/2006/relationships/hyperlink" Id="rId182" Target="https://doi.org/10.1002/2017WR021578" TargetMode="External" /><Relationship Type="http://schemas.openxmlformats.org/officeDocument/2006/relationships/hyperlink" Id="rId184" Target="https://doi.org/10.1002/j.1551-8833.1995.tb06299.x" TargetMode="External" /><Relationship Type="http://schemas.openxmlformats.org/officeDocument/2006/relationships/hyperlink" Id="rId252" Target="https://doi.org/10.1002/j.1551-8833.1995.tb06302.x" TargetMode="External" /><Relationship Type="http://schemas.openxmlformats.org/officeDocument/2006/relationships/hyperlink" Id="rId258" Target="https://doi.org/10.1002/j.1551-8833.2002.tb10250.x" TargetMode="External" /><Relationship Type="http://schemas.openxmlformats.org/officeDocument/2006/relationships/hyperlink" Id="rId270" Target="https://doi.org/10.1002/rra.1504" TargetMode="External" /><Relationship Type="http://schemas.openxmlformats.org/officeDocument/2006/relationships/hyperlink" Id="rId210" Target="https://doi.org/10.1007/978-94-007-1363-5" TargetMode="External" /><Relationship Type="http://schemas.openxmlformats.org/officeDocument/2006/relationships/hyperlink" Id="rId319" Target="https://doi.org/10.1007/s10533-008-9207-6" TargetMode="External" /><Relationship Type="http://schemas.openxmlformats.org/officeDocument/2006/relationships/hyperlink" Id="rId282" Target="https://doi.org/10.1007/s10533-015-0103-6" TargetMode="External" /><Relationship Type="http://schemas.openxmlformats.org/officeDocument/2006/relationships/hyperlink" Id="rId276" Target="https://doi.org/10.1007/s10533-018-0482-6" TargetMode="External" /><Relationship Type="http://schemas.openxmlformats.org/officeDocument/2006/relationships/hyperlink" Id="rId317" Target="https://doi.org/10.1007/s10533-019-00561-w" TargetMode="External" /><Relationship Type="http://schemas.openxmlformats.org/officeDocument/2006/relationships/hyperlink" Id="rId292" Target="https://doi.org/10.1007/s11270-013-1651-9" TargetMode="External" /><Relationship Type="http://schemas.openxmlformats.org/officeDocument/2006/relationships/hyperlink" Id="rId323" Target="https://doi.org/10.1007/s11356-015-4078-6" TargetMode="External" /><Relationship Type="http://schemas.openxmlformats.org/officeDocument/2006/relationships/hyperlink" Id="rId196" Target="https://doi.org/10.1007/s11749-016-0481-7" TargetMode="External" /><Relationship Type="http://schemas.openxmlformats.org/officeDocument/2006/relationships/hyperlink" Id="rId299" Target="https://doi.org/10.1007/sl0533-010-9416-7" TargetMode="External" /><Relationship Type="http://schemas.openxmlformats.org/officeDocument/2006/relationships/hyperlink" Id="rId218" Target="https://doi.org/10.1016/B978-0-12-382092-1.00019-1" TargetMode="External" /><Relationship Type="http://schemas.openxmlformats.org/officeDocument/2006/relationships/hyperlink" Id="rId294" Target="https://doi.org/10.1016/S0003-2670(96)00412-6" TargetMode="External" /><Relationship Type="http://schemas.openxmlformats.org/officeDocument/2006/relationships/hyperlink" Id="rId284" Target="https://doi.org/10.1016/j.advwatres.2015.09.026" TargetMode="External" /><Relationship Type="http://schemas.openxmlformats.org/officeDocument/2006/relationships/hyperlink" Id="rId272" Target="https://doi.org/10.1016/j.chemosphere.2011.01.018" TargetMode="External" /><Relationship Type="http://schemas.openxmlformats.org/officeDocument/2006/relationships/hyperlink" Id="rId274" Target="https://doi.org/10.1016/j.cis.2010.06.007" TargetMode="External" /><Relationship Type="http://schemas.openxmlformats.org/officeDocument/2006/relationships/hyperlink" Id="rId311" Target="https://doi.org/10.1016/j.jenvman.2007.03.001" TargetMode="External" /><Relationship Type="http://schemas.openxmlformats.org/officeDocument/2006/relationships/hyperlink" Id="rId266" Target="https://doi.org/10.1016/j.jhazmat.2014.02.009" TargetMode="External" /><Relationship Type="http://schemas.openxmlformats.org/officeDocument/2006/relationships/hyperlink" Id="rId188" Target="https://doi.org/10.1016/j.jhydrol.2014.05.060" TargetMode="External" /><Relationship Type="http://schemas.openxmlformats.org/officeDocument/2006/relationships/hyperlink" Id="rId303" Target="https://doi.org/10.1016/j.scitotenv.2016.09.113" TargetMode="External" /><Relationship Type="http://schemas.openxmlformats.org/officeDocument/2006/relationships/hyperlink" Id="rId226" Target="https://doi.org/10.1016/j.watres.2010.08.051" TargetMode="External" /><Relationship Type="http://schemas.openxmlformats.org/officeDocument/2006/relationships/hyperlink" Id="rId220" Target="https://doi.org/10.1016/j.watres.2016.08.031" TargetMode="External" /><Relationship Type="http://schemas.openxmlformats.org/officeDocument/2006/relationships/hyperlink" Id="rId321" Target="https://doi.org/10.1021/es030360x" TargetMode="External" /><Relationship Type="http://schemas.openxmlformats.org/officeDocument/2006/relationships/hyperlink" Id="rId186" Target="https://doi.org/10.1021/es103992s" TargetMode="External" /><Relationship Type="http://schemas.openxmlformats.org/officeDocument/2006/relationships/hyperlink" Id="rId268" Target="https://doi.org/10.1023/A:1010933404324" TargetMode="External" /><Relationship Type="http://schemas.openxmlformats.org/officeDocument/2006/relationships/hyperlink" Id="rId250" Target="https://doi.org/10.1029/2005JG000082" TargetMode="External" /><Relationship Type="http://schemas.openxmlformats.org/officeDocument/2006/relationships/hyperlink" Id="rId260" Target="https://doi.org/10.1029/2005WR004362" TargetMode="External" /><Relationship Type="http://schemas.openxmlformats.org/officeDocument/2006/relationships/hyperlink" Id="rId190" Target="https://doi.org/10.1029/2007JG000674" TargetMode="External" /><Relationship Type="http://schemas.openxmlformats.org/officeDocument/2006/relationships/hyperlink" Id="rId325" Target="https://doi.org/10.1029/2018GL080005" TargetMode="External" /><Relationship Type="http://schemas.openxmlformats.org/officeDocument/2006/relationships/hyperlink" Id="rId231" Target="https://doi.org/10.1029/97WR01881" TargetMode="External" /><Relationship Type="http://schemas.openxmlformats.org/officeDocument/2006/relationships/hyperlink" Id="rId309" Target="https://doi.org/10.1037/a0016973" TargetMode="External" /><Relationship Type="http://schemas.openxmlformats.org/officeDocument/2006/relationships/hyperlink" Id="rId180" Target="https://doi.org/10.1111/ele.12897" TargetMode="External" /><Relationship Type="http://schemas.openxmlformats.org/officeDocument/2006/relationships/hyperlink" Id="rId305" Target="https://doi.org/10.1111/j.1365-2427.2011.02613.x" TargetMode="External" /><Relationship Type="http://schemas.openxmlformats.org/officeDocument/2006/relationships/hyperlink" Id="rId216" Target="https://doi.org/10.1139/cjfas-2014-0400" TargetMode="External" /><Relationship Type="http://schemas.openxmlformats.org/officeDocument/2006/relationships/hyperlink" Id="rId307" Target="https://doi.org/10.1186/1471-2105-9-307" TargetMode="External" /><Relationship Type="http://schemas.openxmlformats.org/officeDocument/2006/relationships/hyperlink" Id="rId198" Target="https://doi.org/10.1201/9780367816377-11" TargetMode="External" /><Relationship Type="http://schemas.openxmlformats.org/officeDocument/2006/relationships/hyperlink" Id="rId238" Target="https://doi.org/10.13031/2013.15662" TargetMode="External" /><Relationship Type="http://schemas.openxmlformats.org/officeDocument/2006/relationships/hyperlink" Id="rId280" Target="https://doi.org/10.14288/1.0387350" TargetMode="External" /><Relationship Type="http://schemas.openxmlformats.org/officeDocument/2006/relationships/hyperlink" Id="rId194" Target="https://doi.org/10.2105/SMWW.2882.113" TargetMode="External" /><Relationship Type="http://schemas.openxmlformats.org/officeDocument/2006/relationships/hyperlink" Id="rId208" Target="https://doi.org/10.2166/aqua.2008.064" TargetMode="External" /><Relationship Type="http://schemas.openxmlformats.org/officeDocument/2006/relationships/hyperlink" Id="rId235" Target="https://doi.org/10.3133/fs06700" TargetMode="External" /><Relationship Type="http://schemas.openxmlformats.org/officeDocument/2006/relationships/hyperlink" Id="rId313" Target="https://doi.org/10.3390" TargetMode="External" /><Relationship Type="http://schemas.openxmlformats.org/officeDocument/2006/relationships/hyperlink" Id="rId288" Target="https://doi.org/10.5194/bg-10-2315-2013" TargetMode="External" /><Relationship Type="http://schemas.openxmlformats.org/officeDocument/2006/relationships/hyperlink" Id="rId262" Target="https://doi.org/10.5194/bg-11-3043-2014" TargetMode="External" /><Relationship Type="http://schemas.openxmlformats.org/officeDocument/2006/relationships/hyperlink" Id="rId214" Target="https://doi.org/IWSS-297445977-5079" TargetMode="External" /><Relationship Type="http://schemas.openxmlformats.org/officeDocument/2006/relationships/hyperlink" Id="rId254" Target="https://doi.org/doi:10.1046/j.1365-2427.1997.d01-539.x" TargetMode="External" /><Relationship Type="http://schemas.openxmlformats.org/officeDocument/2006/relationships/hyperlink" Id="rId222" Target="https://pubs.er.usgs.gov/publication/sir20075282" TargetMode="External" /><Relationship Type="http://schemas.openxmlformats.org/officeDocument/2006/relationships/hyperlink" Id="rId203" Target="https://soilsofcanada.ca" TargetMode="External" /><Relationship Type="http://schemas.openxmlformats.org/officeDocument/2006/relationships/hyperlink" Id="rId240" Target="https://www.canada.ca/content/dam/hc-sc/documents/programs/consultation-organic-matter-drinking-water/NOM20190129-eng.pdf" TargetMode="External" /><Relationship Type="http://schemas.openxmlformats.org/officeDocument/2006/relationships/hyperlink" Id="rId242" Target="https://www.canada.ca/content/dam/hc-sc/migration/hc-sc/ewh-semt/alt%7B\_%7Dformats/pdf/pubs/water-eau/sum%7B\_%7Dguide-res%7B\_%7Drecom/summary-table-August-15-2019-eng.pdf" TargetMode="External" /><Relationship Type="http://schemas.openxmlformats.org/officeDocument/2006/relationships/hyperlink" Id="rId244" Target="https://www.canada.ca/en/health-canada/services/healthy-living/your-health/environment/drinking-water-chlorination.html" TargetMode="External" /><Relationship Type="http://schemas.openxmlformats.org/officeDocument/2006/relationships/hyperlink" Id="rId212" Target="https://www.crd.bc.ca/project/past-capital-projects-and-initiatives/water-supply-plan" TargetMode="External" /><Relationship Type="http://schemas.openxmlformats.org/officeDocument/2006/relationships/hyperlink" Id="rId205" Target="https://www.crd.bc.ca/service/public-tours/watershed-tours/facts-figures" TargetMode="External" /><Relationship Type="http://schemas.openxmlformats.org/officeDocument/2006/relationships/hyperlink" Id="rId29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6" Target="https://www.healthlinkbc.ca/healthlinkbc-files/drinking-water-chlorination" TargetMode="External" /><Relationship Type="http://schemas.openxmlformats.org/officeDocument/2006/relationships/hyperlink" Id="rId278" Target="https://www.jstor.org/stable/1937326" TargetMode="External" /><Relationship Type="http://schemas.openxmlformats.org/officeDocument/2006/relationships/hyperlink" Id="rId301" Target="https://www.jstor.org/stable/24702986" TargetMode="External" /><Relationship Type="http://schemas.openxmlformats.org/officeDocument/2006/relationships/hyperlink" Id="rId248" Target="https://www.jstor.org/stable/40058211" TargetMode="External" /><Relationship Type="http://schemas.openxmlformats.org/officeDocument/2006/relationships/hyperlink" Id="rId256" Target="https://www.jstor.org/stable/41311011" TargetMode="External" /><Relationship Type="http://schemas.openxmlformats.org/officeDocument/2006/relationships/hyperlink" Id="rId200"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86" Target="http://hdl.handle.net/1885/40940" TargetMode="External" /><Relationship Type="http://schemas.openxmlformats.org/officeDocument/2006/relationships/hyperlink" Id="rId224" Target="http://scholar.google.com/scholar?hl=en%7B\&amp;%7DbtnG=Search%7B\&amp;%7Dq=intitle:Running+Pure%7B\#%7D1" TargetMode="External" /><Relationship Type="http://schemas.openxmlformats.org/officeDocument/2006/relationships/hyperlink" Id="rId233" Target="http://sis.agr.gc.ca/cansis/soils/bc/soils.html" TargetMode="External" /><Relationship Type="http://schemas.openxmlformats.org/officeDocument/2006/relationships/hyperlink" Id="rId290" Target="http://www.jstor.com/stable/41295152" TargetMode="External" /><Relationship Type="http://schemas.openxmlformats.org/officeDocument/2006/relationships/hyperlink" Id="rId192" Target="http://www.standardmethods.org/" TargetMode="External" /><Relationship Type="http://schemas.openxmlformats.org/officeDocument/2006/relationships/hyperlink" Id="rId264" Target="https://archive.org/details/metaltransportre00lazeuoft/mode/2up" TargetMode="External" /><Relationship Type="http://schemas.openxmlformats.org/officeDocument/2006/relationships/hyperlink" Id="rId229" Target="https://doi.org/10.1002/(SICI)1099-1085(199903)13:4%3C563::AID-HYP711%3E3.0.CO;2-N" TargetMode="External" /><Relationship Type="http://schemas.openxmlformats.org/officeDocument/2006/relationships/hyperlink" Id="rId182" Target="https://doi.org/10.1002/2017WR021578" TargetMode="External" /><Relationship Type="http://schemas.openxmlformats.org/officeDocument/2006/relationships/hyperlink" Id="rId184" Target="https://doi.org/10.1002/j.1551-8833.1995.tb06299.x" TargetMode="External" /><Relationship Type="http://schemas.openxmlformats.org/officeDocument/2006/relationships/hyperlink" Id="rId252" Target="https://doi.org/10.1002/j.1551-8833.1995.tb06302.x" TargetMode="External" /><Relationship Type="http://schemas.openxmlformats.org/officeDocument/2006/relationships/hyperlink" Id="rId258" Target="https://doi.org/10.1002/j.1551-8833.2002.tb10250.x" TargetMode="External" /><Relationship Type="http://schemas.openxmlformats.org/officeDocument/2006/relationships/hyperlink" Id="rId270" Target="https://doi.org/10.1002/rra.1504" TargetMode="External" /><Relationship Type="http://schemas.openxmlformats.org/officeDocument/2006/relationships/hyperlink" Id="rId210" Target="https://doi.org/10.1007/978-94-007-1363-5" TargetMode="External" /><Relationship Type="http://schemas.openxmlformats.org/officeDocument/2006/relationships/hyperlink" Id="rId319" Target="https://doi.org/10.1007/s10533-008-9207-6" TargetMode="External" /><Relationship Type="http://schemas.openxmlformats.org/officeDocument/2006/relationships/hyperlink" Id="rId282" Target="https://doi.org/10.1007/s10533-015-0103-6" TargetMode="External" /><Relationship Type="http://schemas.openxmlformats.org/officeDocument/2006/relationships/hyperlink" Id="rId276" Target="https://doi.org/10.1007/s10533-018-0482-6" TargetMode="External" /><Relationship Type="http://schemas.openxmlformats.org/officeDocument/2006/relationships/hyperlink" Id="rId317" Target="https://doi.org/10.1007/s10533-019-00561-w" TargetMode="External" /><Relationship Type="http://schemas.openxmlformats.org/officeDocument/2006/relationships/hyperlink" Id="rId292" Target="https://doi.org/10.1007/s11270-013-1651-9" TargetMode="External" /><Relationship Type="http://schemas.openxmlformats.org/officeDocument/2006/relationships/hyperlink" Id="rId323" Target="https://doi.org/10.1007/s11356-015-4078-6" TargetMode="External" /><Relationship Type="http://schemas.openxmlformats.org/officeDocument/2006/relationships/hyperlink" Id="rId196" Target="https://doi.org/10.1007/s11749-016-0481-7" TargetMode="External" /><Relationship Type="http://schemas.openxmlformats.org/officeDocument/2006/relationships/hyperlink" Id="rId299" Target="https://doi.org/10.1007/sl0533-010-9416-7" TargetMode="External" /><Relationship Type="http://schemas.openxmlformats.org/officeDocument/2006/relationships/hyperlink" Id="rId218" Target="https://doi.org/10.1016/B978-0-12-382092-1.00019-1" TargetMode="External" /><Relationship Type="http://schemas.openxmlformats.org/officeDocument/2006/relationships/hyperlink" Id="rId294" Target="https://doi.org/10.1016/S0003-2670(96)00412-6" TargetMode="External" /><Relationship Type="http://schemas.openxmlformats.org/officeDocument/2006/relationships/hyperlink" Id="rId284" Target="https://doi.org/10.1016/j.advwatres.2015.09.026" TargetMode="External" /><Relationship Type="http://schemas.openxmlformats.org/officeDocument/2006/relationships/hyperlink" Id="rId272" Target="https://doi.org/10.1016/j.chemosphere.2011.01.018" TargetMode="External" /><Relationship Type="http://schemas.openxmlformats.org/officeDocument/2006/relationships/hyperlink" Id="rId274" Target="https://doi.org/10.1016/j.cis.2010.06.007" TargetMode="External" /><Relationship Type="http://schemas.openxmlformats.org/officeDocument/2006/relationships/hyperlink" Id="rId311" Target="https://doi.org/10.1016/j.jenvman.2007.03.001" TargetMode="External" /><Relationship Type="http://schemas.openxmlformats.org/officeDocument/2006/relationships/hyperlink" Id="rId266" Target="https://doi.org/10.1016/j.jhazmat.2014.02.009" TargetMode="External" /><Relationship Type="http://schemas.openxmlformats.org/officeDocument/2006/relationships/hyperlink" Id="rId188" Target="https://doi.org/10.1016/j.jhydrol.2014.05.060" TargetMode="External" /><Relationship Type="http://schemas.openxmlformats.org/officeDocument/2006/relationships/hyperlink" Id="rId303" Target="https://doi.org/10.1016/j.scitotenv.2016.09.113" TargetMode="External" /><Relationship Type="http://schemas.openxmlformats.org/officeDocument/2006/relationships/hyperlink" Id="rId226" Target="https://doi.org/10.1016/j.watres.2010.08.051" TargetMode="External" /><Relationship Type="http://schemas.openxmlformats.org/officeDocument/2006/relationships/hyperlink" Id="rId220" Target="https://doi.org/10.1016/j.watres.2016.08.031" TargetMode="External" /><Relationship Type="http://schemas.openxmlformats.org/officeDocument/2006/relationships/hyperlink" Id="rId321" Target="https://doi.org/10.1021/es030360x" TargetMode="External" /><Relationship Type="http://schemas.openxmlformats.org/officeDocument/2006/relationships/hyperlink" Id="rId186" Target="https://doi.org/10.1021/es103992s" TargetMode="External" /><Relationship Type="http://schemas.openxmlformats.org/officeDocument/2006/relationships/hyperlink" Id="rId268" Target="https://doi.org/10.1023/A:1010933404324" TargetMode="External" /><Relationship Type="http://schemas.openxmlformats.org/officeDocument/2006/relationships/hyperlink" Id="rId250" Target="https://doi.org/10.1029/2005JG000082" TargetMode="External" /><Relationship Type="http://schemas.openxmlformats.org/officeDocument/2006/relationships/hyperlink" Id="rId260" Target="https://doi.org/10.1029/2005WR004362" TargetMode="External" /><Relationship Type="http://schemas.openxmlformats.org/officeDocument/2006/relationships/hyperlink" Id="rId190" Target="https://doi.org/10.1029/2007JG000674" TargetMode="External" /><Relationship Type="http://schemas.openxmlformats.org/officeDocument/2006/relationships/hyperlink" Id="rId325" Target="https://doi.org/10.1029/2018GL080005" TargetMode="External" /><Relationship Type="http://schemas.openxmlformats.org/officeDocument/2006/relationships/hyperlink" Id="rId231" Target="https://doi.org/10.1029/97WR01881" TargetMode="External" /><Relationship Type="http://schemas.openxmlformats.org/officeDocument/2006/relationships/hyperlink" Id="rId309" Target="https://doi.org/10.1037/a0016973" TargetMode="External" /><Relationship Type="http://schemas.openxmlformats.org/officeDocument/2006/relationships/hyperlink" Id="rId180" Target="https://doi.org/10.1111/ele.12897" TargetMode="External" /><Relationship Type="http://schemas.openxmlformats.org/officeDocument/2006/relationships/hyperlink" Id="rId305" Target="https://doi.org/10.1111/j.1365-2427.2011.02613.x" TargetMode="External" /><Relationship Type="http://schemas.openxmlformats.org/officeDocument/2006/relationships/hyperlink" Id="rId216" Target="https://doi.org/10.1139/cjfas-2014-0400" TargetMode="External" /><Relationship Type="http://schemas.openxmlformats.org/officeDocument/2006/relationships/hyperlink" Id="rId307" Target="https://doi.org/10.1186/1471-2105-9-307" TargetMode="External" /><Relationship Type="http://schemas.openxmlformats.org/officeDocument/2006/relationships/hyperlink" Id="rId198" Target="https://doi.org/10.1201/9780367816377-11" TargetMode="External" /><Relationship Type="http://schemas.openxmlformats.org/officeDocument/2006/relationships/hyperlink" Id="rId238" Target="https://doi.org/10.13031/2013.15662" TargetMode="External" /><Relationship Type="http://schemas.openxmlformats.org/officeDocument/2006/relationships/hyperlink" Id="rId280" Target="https://doi.org/10.14288/1.0387350" TargetMode="External" /><Relationship Type="http://schemas.openxmlformats.org/officeDocument/2006/relationships/hyperlink" Id="rId194" Target="https://doi.org/10.2105/SMWW.2882.113" TargetMode="External" /><Relationship Type="http://schemas.openxmlformats.org/officeDocument/2006/relationships/hyperlink" Id="rId208" Target="https://doi.org/10.2166/aqua.2008.064" TargetMode="External" /><Relationship Type="http://schemas.openxmlformats.org/officeDocument/2006/relationships/hyperlink" Id="rId235" Target="https://doi.org/10.3133/fs06700" TargetMode="External" /><Relationship Type="http://schemas.openxmlformats.org/officeDocument/2006/relationships/hyperlink" Id="rId313" Target="https://doi.org/10.3390" TargetMode="External" /><Relationship Type="http://schemas.openxmlformats.org/officeDocument/2006/relationships/hyperlink" Id="rId288" Target="https://doi.org/10.5194/bg-10-2315-2013" TargetMode="External" /><Relationship Type="http://schemas.openxmlformats.org/officeDocument/2006/relationships/hyperlink" Id="rId262" Target="https://doi.org/10.5194/bg-11-3043-2014" TargetMode="External" /><Relationship Type="http://schemas.openxmlformats.org/officeDocument/2006/relationships/hyperlink" Id="rId214" Target="https://doi.org/IWSS-297445977-5079" TargetMode="External" /><Relationship Type="http://schemas.openxmlformats.org/officeDocument/2006/relationships/hyperlink" Id="rId254" Target="https://doi.org/doi:10.1046/j.1365-2427.1997.d01-539.x" TargetMode="External" /><Relationship Type="http://schemas.openxmlformats.org/officeDocument/2006/relationships/hyperlink" Id="rId222" Target="https://pubs.er.usgs.gov/publication/sir20075282" TargetMode="External" /><Relationship Type="http://schemas.openxmlformats.org/officeDocument/2006/relationships/hyperlink" Id="rId203" Target="https://soilsofcanada.ca" TargetMode="External" /><Relationship Type="http://schemas.openxmlformats.org/officeDocument/2006/relationships/hyperlink" Id="rId240" Target="https://www.canada.ca/content/dam/hc-sc/documents/programs/consultation-organic-matter-drinking-water/NOM20190129-eng.pdf" TargetMode="External" /><Relationship Type="http://schemas.openxmlformats.org/officeDocument/2006/relationships/hyperlink" Id="rId242" Target="https://www.canada.ca/content/dam/hc-sc/migration/hc-sc/ewh-semt/alt%7B\_%7Dformats/pdf/pubs/water-eau/sum%7B\_%7Dguide-res%7B\_%7Drecom/summary-table-August-15-2019-eng.pdf" TargetMode="External" /><Relationship Type="http://schemas.openxmlformats.org/officeDocument/2006/relationships/hyperlink" Id="rId244" Target="https://www.canada.ca/en/health-canada/services/healthy-living/your-health/environment/drinking-water-chlorination.html" TargetMode="External" /><Relationship Type="http://schemas.openxmlformats.org/officeDocument/2006/relationships/hyperlink" Id="rId212" Target="https://www.crd.bc.ca/project/past-capital-projects-and-initiatives/water-supply-plan" TargetMode="External" /><Relationship Type="http://schemas.openxmlformats.org/officeDocument/2006/relationships/hyperlink" Id="rId205" Target="https://www.crd.bc.ca/service/public-tours/watershed-tours/facts-figures" TargetMode="External" /><Relationship Type="http://schemas.openxmlformats.org/officeDocument/2006/relationships/hyperlink" Id="rId29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46" Target="https://www.healthlinkbc.ca/healthlinkbc-files/drinking-water-chlorination" TargetMode="External" /><Relationship Type="http://schemas.openxmlformats.org/officeDocument/2006/relationships/hyperlink" Id="rId278" Target="https://www.jstor.org/stable/1937326" TargetMode="External" /><Relationship Type="http://schemas.openxmlformats.org/officeDocument/2006/relationships/hyperlink" Id="rId301" Target="https://www.jstor.org/stable/24702986" TargetMode="External" /><Relationship Type="http://schemas.openxmlformats.org/officeDocument/2006/relationships/hyperlink" Id="rId248" Target="https://www.jstor.org/stable/40058211" TargetMode="External" /><Relationship Type="http://schemas.openxmlformats.org/officeDocument/2006/relationships/hyperlink" Id="rId256" Target="https://www.jstor.org/stable/41311011" TargetMode="External" /><Relationship Type="http://schemas.openxmlformats.org/officeDocument/2006/relationships/hyperlink" Id="rId200"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the Leech River watershed, a second growth forested drinking water supply area on Vancouver Island, BC: an assessment of dissolved organic carbon and spectral properties</dc:title>
  <dc:creator>Hannah J. McSorley</dc:creator>
  <cp:keywords/>
  <dcterms:created xsi:type="dcterms:W3CDTF">2020-09-24T20:16:48Z</dcterms:created>
  <dcterms:modified xsi:type="dcterms:W3CDTF">2020-09-24T20:16:48Z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